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3CAE571E"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70AA3">
        <w:rPr>
          <w:rFonts w:ascii="Arial" w:hAnsi="Arial" w:cs="Arial"/>
          <w:b/>
          <w:bCs/>
        </w:rPr>
        <w:t>2</w:t>
      </w:r>
      <w:r w:rsidR="00685938">
        <w:rPr>
          <w:rFonts w:ascii="Arial" w:hAnsi="Arial" w:cs="Arial"/>
          <w:b/>
          <w:bCs/>
        </w:rPr>
        <w:t>-e</w:t>
      </w:r>
      <w:r w:rsidRPr="00E847D0">
        <w:rPr>
          <w:rFonts w:ascii="Arial" w:hAnsi="Arial" w:cs="Arial"/>
          <w:b/>
          <w:bCs/>
        </w:rPr>
        <w:tab/>
      </w:r>
      <w:r w:rsidRPr="00E847D0">
        <w:rPr>
          <w:rFonts w:ascii="Arial" w:hAnsi="Arial" w:cs="Arial"/>
          <w:b/>
          <w:bCs/>
        </w:rPr>
        <w:tab/>
      </w:r>
      <w:r w:rsidR="00B961EB" w:rsidRPr="00B961EB">
        <w:rPr>
          <w:rFonts w:ascii="Arial" w:hAnsi="Arial" w:cs="Arial"/>
          <w:b/>
          <w:bCs/>
        </w:rPr>
        <w:t>R1-</w:t>
      </w:r>
      <w:r w:rsidR="00D328BE">
        <w:rPr>
          <w:rFonts w:ascii="Arial" w:hAnsi="Arial" w:cs="Arial"/>
          <w:b/>
          <w:bCs/>
        </w:rPr>
        <w:t>2006513</w:t>
      </w:r>
    </w:p>
    <w:p w14:paraId="547B7DA4" w14:textId="7E63ED80" w:rsidR="008F2E02" w:rsidRPr="00D66952" w:rsidRDefault="008F2E02" w:rsidP="008F2E02">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3918D8">
        <w:rPr>
          <w:rFonts w:ascii="Arial" w:eastAsia="MS Mincho" w:hAnsi="Arial" w:cs="Arial"/>
          <w:b/>
          <w:bCs/>
          <w:lang w:eastAsia="ja-JP"/>
        </w:rPr>
        <w:t>August 17</w:t>
      </w:r>
      <w:r w:rsidR="003918D8" w:rsidRPr="009B1AF6">
        <w:rPr>
          <w:rFonts w:ascii="Arial" w:eastAsia="MS Mincho" w:hAnsi="Arial" w:cs="Arial"/>
          <w:b/>
          <w:bCs/>
          <w:vertAlign w:val="superscript"/>
          <w:lang w:eastAsia="ja-JP"/>
        </w:rPr>
        <w:t>th</w:t>
      </w:r>
      <w:r w:rsidR="003918D8">
        <w:rPr>
          <w:rFonts w:ascii="Arial" w:eastAsia="MS Mincho" w:hAnsi="Arial" w:cs="Arial"/>
          <w:b/>
          <w:bCs/>
          <w:lang w:eastAsia="ja-JP"/>
        </w:rPr>
        <w:t xml:space="preserve"> – 28th</w:t>
      </w:r>
      <w:r w:rsidRPr="00D66952">
        <w:rPr>
          <w:rFonts w:ascii="Arial" w:eastAsia="MS Mincho" w:hAnsi="Arial" w:cs="Arial"/>
          <w:b/>
          <w:bCs/>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858832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970AA3">
        <w:rPr>
          <w:sz w:val="22"/>
          <w:szCs w:val="22"/>
        </w:rPr>
        <w:t>2</w:t>
      </w:r>
      <w:r w:rsidR="00685938">
        <w:rPr>
          <w:sz w:val="22"/>
          <w:szCs w:val="22"/>
        </w:rPr>
        <w:t>.</w:t>
      </w:r>
      <w:r w:rsidR="00932A93">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68BBA62" w:rsidR="00B23EB7" w:rsidRDefault="00B23EB7" w:rsidP="00B23EB7">
      <w:pPr>
        <w:pStyle w:val="3GPPHeader"/>
        <w:rPr>
          <w:sz w:val="22"/>
          <w:szCs w:val="22"/>
        </w:rPr>
      </w:pPr>
      <w:r w:rsidRPr="00315C6E">
        <w:rPr>
          <w:sz w:val="22"/>
          <w:szCs w:val="22"/>
        </w:rPr>
        <w:t>Title:</w:t>
      </w:r>
      <w:r w:rsidRPr="00315C6E">
        <w:rPr>
          <w:sz w:val="22"/>
          <w:szCs w:val="22"/>
        </w:rPr>
        <w:tab/>
      </w:r>
      <w:r w:rsidR="00970AA3">
        <w:rPr>
          <w:sz w:val="22"/>
          <w:szCs w:val="22"/>
        </w:rPr>
        <w:t>O</w:t>
      </w:r>
      <w:r w:rsidR="00A25CB0" w:rsidRPr="00A25CB0">
        <w:rPr>
          <w:sz w:val="22"/>
          <w:szCs w:val="22"/>
        </w:rPr>
        <w:t>n Channel Access Mechanisms  for Unlicensed Access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A82AAD1" w14:textId="7E6A7173" w:rsidR="00033C6F" w:rsidRDefault="00033C6F" w:rsidP="00033C6F">
      <w:pPr>
        <w:jc w:val="both"/>
        <w:rPr>
          <w:rFonts w:cs="Batang"/>
          <w:sz w:val="22"/>
          <w:szCs w:val="22"/>
          <w:lang w:eastAsia="en-US"/>
        </w:rPr>
      </w:pPr>
      <w:r>
        <w:rPr>
          <w:rFonts w:cs="Batang"/>
          <w:sz w:val="22"/>
          <w:szCs w:val="22"/>
          <w:lang w:eastAsia="en-US"/>
        </w:rPr>
        <w:t xml:space="preserve">A study item on the requirements for NR beyond 52.6 GHz was completed in December 2019 with the following areas of focus </w:t>
      </w:r>
      <w:r w:rsidR="008F2E02">
        <w:rPr>
          <w:rFonts w:cs="Batang"/>
          <w:sz w:val="22"/>
          <w:szCs w:val="22"/>
          <w:lang w:eastAsia="en-US"/>
        </w:rPr>
        <w:fldChar w:fldCharType="begin"/>
      </w:r>
      <w:r w:rsidR="008F2E02">
        <w:rPr>
          <w:rFonts w:cs="Batang"/>
          <w:sz w:val="22"/>
          <w:szCs w:val="22"/>
          <w:lang w:eastAsia="en-US"/>
        </w:rPr>
        <w:instrText xml:space="preserve"> REF _Ref40195455 \r \h </w:instrText>
      </w:r>
      <w:r w:rsidR="008F2E02">
        <w:rPr>
          <w:rFonts w:cs="Batang"/>
          <w:sz w:val="22"/>
          <w:szCs w:val="22"/>
          <w:lang w:eastAsia="en-US"/>
        </w:rPr>
      </w:r>
      <w:r w:rsidR="008F2E02">
        <w:rPr>
          <w:rFonts w:cs="Batang"/>
          <w:sz w:val="22"/>
          <w:szCs w:val="22"/>
          <w:lang w:eastAsia="en-US"/>
        </w:rPr>
        <w:fldChar w:fldCharType="separate"/>
      </w:r>
      <w:r w:rsidR="00034C09">
        <w:rPr>
          <w:rFonts w:cs="Batang"/>
          <w:sz w:val="22"/>
          <w:szCs w:val="22"/>
          <w:lang w:eastAsia="en-US"/>
        </w:rPr>
        <w:t>[1]</w:t>
      </w:r>
      <w:r w:rsidR="008F2E02">
        <w:rPr>
          <w:rFonts w:cs="Batang"/>
          <w:sz w:val="22"/>
          <w:szCs w:val="22"/>
          <w:lang w:eastAsia="en-US"/>
        </w:rPr>
        <w:fldChar w:fldCharType="end"/>
      </w:r>
      <w:r>
        <w:rPr>
          <w:rFonts w:cs="Batang"/>
          <w:sz w:val="22"/>
          <w:szCs w:val="22"/>
          <w:lang w:eastAsia="en-US"/>
        </w:rPr>
        <w:t>:</w:t>
      </w:r>
    </w:p>
    <w:p w14:paraId="71DFE0E0" w14:textId="77777777" w:rsidR="00033C6F" w:rsidRDefault="00033C6F" w:rsidP="00033C6F">
      <w:pPr>
        <w:jc w:val="both"/>
        <w:rPr>
          <w:rFonts w:cs="Batang"/>
          <w:sz w:val="22"/>
          <w:szCs w:val="22"/>
          <w:lang w:eastAsia="en-US"/>
        </w:rPr>
      </w:pPr>
    </w:p>
    <w:p w14:paraId="34C2E01F"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 xml:space="preserve">survey of regulatory requirements for spectrum between 52.6 GHz and 114.25GHz, </w:t>
      </w:r>
    </w:p>
    <w:p w14:paraId="331CCAB9"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 xml:space="preserve">identification of deployment scenarios and uses cases for the same frequency, and </w:t>
      </w:r>
    </w:p>
    <w:p w14:paraId="7299DD4B" w14:textId="77777777" w:rsidR="00033C6F" w:rsidRPr="00033C6F" w:rsidRDefault="00033C6F" w:rsidP="00033C6F">
      <w:pPr>
        <w:pStyle w:val="ListParagraph"/>
        <w:numPr>
          <w:ilvl w:val="0"/>
          <w:numId w:val="35"/>
        </w:numPr>
        <w:ind w:leftChars="0"/>
        <w:jc w:val="both"/>
        <w:rPr>
          <w:rFonts w:cs="Batang"/>
          <w:sz w:val="22"/>
          <w:szCs w:val="22"/>
          <w:lang w:eastAsia="en-US"/>
        </w:rPr>
      </w:pPr>
      <w:r w:rsidRPr="00033C6F">
        <w:rPr>
          <w:rFonts w:cs="Batang"/>
          <w:sz w:val="22"/>
          <w:szCs w:val="22"/>
          <w:lang w:eastAsia="en-US"/>
        </w:rPr>
        <w:t>identification of system requirements for the same frequency</w:t>
      </w:r>
    </w:p>
    <w:p w14:paraId="479EF4D8" w14:textId="77777777" w:rsidR="00033C6F" w:rsidRDefault="00033C6F" w:rsidP="008E4530">
      <w:pPr>
        <w:pStyle w:val="0Maintext"/>
        <w:spacing w:after="0" w:afterAutospacing="0" w:line="240" w:lineRule="auto"/>
        <w:ind w:firstLine="0"/>
        <w:rPr>
          <w:sz w:val="22"/>
          <w:szCs w:val="22"/>
          <w:lang w:val="en-US"/>
        </w:rPr>
      </w:pPr>
    </w:p>
    <w:p w14:paraId="63402197" w14:textId="1D09E062" w:rsidR="003715EE" w:rsidRDefault="00034C09" w:rsidP="008E4530">
      <w:pPr>
        <w:pStyle w:val="0Maintext"/>
        <w:spacing w:after="0" w:afterAutospacing="0" w:line="240" w:lineRule="auto"/>
        <w:ind w:firstLine="0"/>
        <w:rPr>
          <w:sz w:val="22"/>
          <w:szCs w:val="22"/>
          <w:lang w:val="en-US"/>
        </w:rPr>
      </w:pPr>
      <w:r>
        <w:rPr>
          <w:sz w:val="22"/>
          <w:szCs w:val="22"/>
          <w:lang w:val="en-US"/>
        </w:rPr>
        <w:t>A</w:t>
      </w:r>
      <w:r w:rsidR="008F2E02">
        <w:rPr>
          <w:sz w:val="22"/>
          <w:szCs w:val="22"/>
          <w:lang w:val="en-US"/>
        </w:rPr>
        <w:t xml:space="preserve"> new </w:t>
      </w:r>
      <w:r>
        <w:rPr>
          <w:sz w:val="22"/>
          <w:szCs w:val="22"/>
          <w:lang w:val="en-US"/>
        </w:rPr>
        <w:t>study item</w:t>
      </w:r>
      <w:r w:rsidR="008F2E02">
        <w:rPr>
          <w:sz w:val="22"/>
          <w:szCs w:val="22"/>
          <w:lang w:val="en-US"/>
        </w:rPr>
        <w:t xml:space="preserve"> was proposed</w:t>
      </w:r>
      <w:r>
        <w:rPr>
          <w:sz w:val="22"/>
          <w:szCs w:val="22"/>
          <w:lang w:val="en-US"/>
        </w:rPr>
        <w:t xml:space="preserve"> in RAN #86</w:t>
      </w:r>
      <w:r w:rsidR="008F2E02">
        <w:rPr>
          <w:sz w:val="22"/>
          <w:szCs w:val="22"/>
          <w:lang w:val="en-US"/>
        </w:rPr>
        <w:t xml:space="preserve">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xml:space="preserve"> and updated in RAN1 #88e </w:t>
      </w:r>
      <w:r>
        <w:rPr>
          <w:sz w:val="22"/>
          <w:szCs w:val="22"/>
          <w:lang w:val="en-US"/>
        </w:rPr>
        <w:fldChar w:fldCharType="begin"/>
      </w:r>
      <w:r>
        <w:rPr>
          <w:sz w:val="22"/>
          <w:szCs w:val="22"/>
          <w:lang w:val="en-US"/>
        </w:rPr>
        <w:instrText xml:space="preserve"> REF _Ref47610377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xml:space="preserve"> </w:t>
      </w:r>
      <w:r w:rsidR="008F2E02">
        <w:rPr>
          <w:sz w:val="22"/>
          <w:szCs w:val="22"/>
          <w:lang w:val="en-US"/>
        </w:rPr>
        <w:t>with a goal as follows:</w:t>
      </w:r>
    </w:p>
    <w:p w14:paraId="238559FD" w14:textId="4772D2DD" w:rsidR="00D32078" w:rsidRPr="00D32078" w:rsidRDefault="00D32078" w:rsidP="008E4530">
      <w:pPr>
        <w:pStyle w:val="ListParagraph"/>
        <w:numPr>
          <w:ilvl w:val="0"/>
          <w:numId w:val="39"/>
        </w:numPr>
        <w:ind w:leftChars="0"/>
        <w:rPr>
          <w:rFonts w:cs="Batang"/>
          <w:sz w:val="22"/>
          <w:szCs w:val="22"/>
          <w:lang w:eastAsia="en-US"/>
        </w:rPr>
      </w:pPr>
      <w:r w:rsidRPr="00D32078">
        <w:rPr>
          <w:rFonts w:cs="Batang"/>
          <w:sz w:val="22"/>
          <w:szCs w:val="22"/>
          <w:lang w:eastAsia="en-US"/>
        </w:rPr>
        <w:t xml:space="preserve">Study of channel access mechanism assuming </w:t>
      </w:r>
      <w:r w:rsidR="008F2E02" w:rsidRPr="00D32078">
        <w:rPr>
          <w:rFonts w:cs="Batang"/>
          <w:sz w:val="22"/>
          <w:szCs w:val="22"/>
          <w:lang w:eastAsia="en-US"/>
        </w:rPr>
        <w:t>beam-based</w:t>
      </w:r>
      <w:r w:rsidRPr="00D32078">
        <w:rPr>
          <w:rFonts w:cs="Batang"/>
          <w:sz w:val="22"/>
          <w:szCs w:val="22"/>
          <w:lang w:eastAsia="en-US"/>
        </w:rPr>
        <w:t xml:space="preserve"> operation in order to comply with the regulatory requirements applicable to unlicensed spectrum for frequencies between 52.6 GHz and 71 GHz [RAN1] </w:t>
      </w:r>
    </w:p>
    <w:p w14:paraId="42089A07" w14:textId="77777777" w:rsidR="00D32078" w:rsidRPr="00D32078" w:rsidRDefault="00D32078" w:rsidP="00D32078">
      <w:pPr>
        <w:rPr>
          <w:rFonts w:cs="Batang"/>
          <w:sz w:val="22"/>
          <w:szCs w:val="22"/>
          <w:lang w:eastAsia="en-US"/>
        </w:rPr>
      </w:pPr>
    </w:p>
    <w:p w14:paraId="24A14C2D" w14:textId="0BA4F2A0" w:rsidR="005E4239" w:rsidRDefault="004372AA" w:rsidP="00D32078">
      <w:pPr>
        <w:jc w:val="both"/>
        <w:rPr>
          <w:rFonts w:cs="Batang"/>
          <w:i/>
          <w:iCs/>
          <w:sz w:val="22"/>
          <w:szCs w:val="22"/>
          <w:lang w:val="en-GB" w:eastAsia="en-US"/>
        </w:rPr>
      </w:pPr>
      <w:r>
        <w:rPr>
          <w:rFonts w:cs="Batang"/>
          <w:sz w:val="22"/>
          <w:szCs w:val="22"/>
          <w:lang w:eastAsia="en-US"/>
        </w:rPr>
        <w:t xml:space="preserve">In this contribution, we discuss </w:t>
      </w:r>
      <w:r w:rsidR="0011783E">
        <w:rPr>
          <w:rFonts w:cs="Batang"/>
          <w:sz w:val="22"/>
          <w:szCs w:val="22"/>
          <w:lang w:eastAsia="en-US"/>
        </w:rPr>
        <w:t xml:space="preserve">regulatory issues applicable to the spectrum between 52.6 GHz and 71 GHz and </w:t>
      </w:r>
      <w:r w:rsidR="00AC46E5">
        <w:rPr>
          <w:rFonts w:cs="Batang"/>
          <w:sz w:val="22"/>
          <w:szCs w:val="22"/>
          <w:lang w:eastAsia="en-US"/>
        </w:rPr>
        <w:t xml:space="preserve">their impact on </w:t>
      </w:r>
      <w:r w:rsidR="008F2E02">
        <w:rPr>
          <w:rFonts w:cs="Batang"/>
          <w:sz w:val="22"/>
          <w:szCs w:val="22"/>
          <w:lang w:eastAsia="en-US"/>
        </w:rPr>
        <w:t>different channel access mechanisms for unlicensed access</w:t>
      </w:r>
      <w:r w:rsidR="00AC46E5">
        <w:rPr>
          <w:rFonts w:cs="Batang"/>
          <w:sz w:val="22"/>
          <w:szCs w:val="22"/>
          <w:lang w:eastAsia="en-US"/>
        </w:rPr>
        <w:t xml:space="preserve"> We </w:t>
      </w:r>
      <w:r w:rsidR="00034C09">
        <w:rPr>
          <w:rFonts w:cs="Batang"/>
          <w:sz w:val="22"/>
          <w:szCs w:val="22"/>
          <w:lang w:eastAsia="en-US"/>
        </w:rPr>
        <w:t>then</w:t>
      </w:r>
      <w:r w:rsidR="00AC46E5">
        <w:rPr>
          <w:rFonts w:cs="Batang"/>
          <w:sz w:val="22"/>
          <w:szCs w:val="22"/>
          <w:lang w:eastAsia="en-US"/>
        </w:rPr>
        <w:t xml:space="preserve"> discuss </w:t>
      </w:r>
      <w:r w:rsidR="00034C09">
        <w:rPr>
          <w:rFonts w:cs="Batang"/>
          <w:sz w:val="22"/>
          <w:szCs w:val="22"/>
          <w:lang w:eastAsia="en-US"/>
        </w:rPr>
        <w:t xml:space="preserve">existing </w:t>
      </w:r>
      <w:r w:rsidR="00AC46E5">
        <w:rPr>
          <w:rFonts w:cs="Batang"/>
          <w:sz w:val="22"/>
          <w:szCs w:val="22"/>
          <w:lang w:eastAsia="en-US"/>
        </w:rPr>
        <w:t xml:space="preserve">channel access mechanisms </w:t>
      </w:r>
      <w:r w:rsidR="00034C09">
        <w:rPr>
          <w:rFonts w:cs="Batang"/>
          <w:sz w:val="22"/>
          <w:szCs w:val="22"/>
          <w:lang w:eastAsia="en-US"/>
        </w:rPr>
        <w:t>and propose modifications to enable them function well for unlicensed access above 52.6 GHz</w:t>
      </w:r>
      <w:r w:rsidR="00AC46E5">
        <w:rPr>
          <w:rFonts w:cs="Batang"/>
          <w:sz w:val="22"/>
          <w:szCs w:val="22"/>
          <w:lang w:eastAsia="en-US"/>
        </w:rPr>
        <w:t xml:space="preserve">. </w:t>
      </w:r>
    </w:p>
    <w:p w14:paraId="65A3CB43" w14:textId="1C60A1D3" w:rsidR="005E4239" w:rsidRDefault="00007C75" w:rsidP="005E4239">
      <w:pPr>
        <w:pStyle w:val="Heading1"/>
      </w:pPr>
      <w:r>
        <w:t xml:space="preserve">Channel </w:t>
      </w:r>
      <w:r w:rsidR="00AC46E5">
        <w:t xml:space="preserve">Access </w:t>
      </w:r>
      <w:r>
        <w:t xml:space="preserve">and Regulation </w:t>
      </w:r>
    </w:p>
    <w:p w14:paraId="38CB49F7" w14:textId="6D5FA077" w:rsidR="00AC46E5" w:rsidRDefault="00AC46E5" w:rsidP="00D32078">
      <w:pPr>
        <w:jc w:val="both"/>
        <w:rPr>
          <w:rFonts w:cs="Batang"/>
          <w:sz w:val="22"/>
          <w:szCs w:val="22"/>
          <w:lang w:val="en-GB" w:eastAsia="en-US"/>
        </w:rPr>
      </w:pPr>
      <w:r>
        <w:rPr>
          <w:rFonts w:cs="Batang"/>
          <w:sz w:val="22"/>
          <w:szCs w:val="22"/>
          <w:lang w:val="en-GB" w:eastAsia="en-US"/>
        </w:rPr>
        <w:t xml:space="preserve">In the following section, we will discuss the regulatory environments and their effect on the choice of channel access mechanism in NR operation between 52.6 GHz and 71 GHz. </w:t>
      </w:r>
      <w:r w:rsidR="00007C75">
        <w:rPr>
          <w:rFonts w:cs="Batang"/>
          <w:sz w:val="22"/>
          <w:szCs w:val="22"/>
          <w:lang w:val="en-GB" w:eastAsia="en-US"/>
        </w:rPr>
        <w:t xml:space="preserve">In general, the rules for </w:t>
      </w:r>
      <w:r w:rsidR="005E4239">
        <w:rPr>
          <w:rFonts w:cs="Batang"/>
          <w:sz w:val="22"/>
          <w:szCs w:val="22"/>
          <w:lang w:val="en-GB" w:eastAsia="en-US"/>
        </w:rPr>
        <w:t xml:space="preserve">multiple access </w:t>
      </w:r>
      <w:r w:rsidR="00007C75">
        <w:rPr>
          <w:rFonts w:cs="Batang"/>
          <w:sz w:val="22"/>
          <w:szCs w:val="22"/>
          <w:lang w:val="en-GB" w:eastAsia="en-US"/>
        </w:rPr>
        <w:t xml:space="preserve">are determined by regulation and all devices accessing the medium have to comply with these regulations. The regulations </w:t>
      </w:r>
      <w:r w:rsidR="005249B0">
        <w:rPr>
          <w:rFonts w:cs="Batang"/>
          <w:sz w:val="22"/>
          <w:szCs w:val="22"/>
          <w:lang w:val="en-GB" w:eastAsia="en-US"/>
        </w:rPr>
        <w:t xml:space="preserve">may differ between jurisdictions and even within a specific jurisdiction. </w:t>
      </w:r>
    </w:p>
    <w:p w14:paraId="03A3EE57" w14:textId="77777777" w:rsidR="00AC46E5" w:rsidRDefault="00AC46E5" w:rsidP="00D32078">
      <w:pPr>
        <w:jc w:val="both"/>
        <w:rPr>
          <w:rFonts w:cs="Batang"/>
          <w:sz w:val="22"/>
          <w:szCs w:val="22"/>
          <w:lang w:val="en-GB" w:eastAsia="en-US"/>
        </w:rPr>
      </w:pPr>
    </w:p>
    <w:p w14:paraId="01059580" w14:textId="77777777" w:rsidR="00034C09" w:rsidRDefault="00007C75" w:rsidP="00615713">
      <w:pPr>
        <w:pStyle w:val="0Maintext"/>
        <w:spacing w:line="240" w:lineRule="auto"/>
        <w:ind w:firstLine="0"/>
        <w:rPr>
          <w:sz w:val="22"/>
          <w:szCs w:val="22"/>
          <w:lang w:val="en-US"/>
        </w:rPr>
      </w:pPr>
      <w:r>
        <w:rPr>
          <w:sz w:val="22"/>
          <w:szCs w:val="22"/>
        </w:rPr>
        <w:t>A summary of the current regulatory framework for spectrum between 52.6 GHz and 71 GHz can be found in</w:t>
      </w:r>
      <w:r w:rsidR="00034C09">
        <w:rPr>
          <w:sz w:val="22"/>
          <w:szCs w:val="22"/>
        </w:rPr>
        <w:t xml:space="preserve"> </w:t>
      </w:r>
      <w:r w:rsidR="00034C09">
        <w:rPr>
          <w:sz w:val="22"/>
          <w:szCs w:val="22"/>
        </w:rPr>
        <w:fldChar w:fldCharType="begin"/>
      </w:r>
      <w:r w:rsidR="00034C09">
        <w:rPr>
          <w:sz w:val="22"/>
          <w:szCs w:val="22"/>
        </w:rPr>
        <w:instrText xml:space="preserve"> REF _Ref40195455 \r \h </w:instrText>
      </w:r>
      <w:r w:rsidR="00034C09">
        <w:rPr>
          <w:sz w:val="22"/>
          <w:szCs w:val="22"/>
        </w:rPr>
      </w:r>
      <w:r w:rsidR="00034C09">
        <w:rPr>
          <w:sz w:val="22"/>
          <w:szCs w:val="22"/>
        </w:rPr>
        <w:fldChar w:fldCharType="separate"/>
      </w:r>
      <w:r w:rsidR="00034C09">
        <w:rPr>
          <w:sz w:val="22"/>
          <w:szCs w:val="22"/>
        </w:rPr>
        <w:t>[1]</w:t>
      </w:r>
      <w:r w:rsidR="00034C09">
        <w:rPr>
          <w:sz w:val="22"/>
          <w:szCs w:val="22"/>
        </w:rPr>
        <w:fldChar w:fldCharType="end"/>
      </w:r>
      <w:r w:rsidR="00034C09">
        <w:rPr>
          <w:sz w:val="22"/>
          <w:szCs w:val="22"/>
        </w:rPr>
        <w:t xml:space="preserve"> and </w:t>
      </w:r>
      <w:r>
        <w:rPr>
          <w:sz w:val="22"/>
          <w:szCs w:val="22"/>
        </w:rPr>
        <w:t xml:space="preserve"> </w:t>
      </w:r>
      <w:r>
        <w:rPr>
          <w:sz w:val="22"/>
          <w:szCs w:val="22"/>
        </w:rPr>
        <w:fldChar w:fldCharType="begin"/>
      </w:r>
      <w:r>
        <w:rPr>
          <w:sz w:val="22"/>
          <w:szCs w:val="22"/>
        </w:rPr>
        <w:instrText xml:space="preserve"> REF _Ref47613100 \r \h </w:instrText>
      </w:r>
      <w:r>
        <w:rPr>
          <w:sz w:val="22"/>
          <w:szCs w:val="22"/>
        </w:rPr>
      </w:r>
      <w:r>
        <w:rPr>
          <w:sz w:val="22"/>
          <w:szCs w:val="22"/>
        </w:rPr>
        <w:fldChar w:fldCharType="separate"/>
      </w:r>
      <w:r w:rsidR="00034C09">
        <w:rPr>
          <w:sz w:val="22"/>
          <w:szCs w:val="22"/>
        </w:rPr>
        <w:t>[4]</w:t>
      </w:r>
      <w:r>
        <w:rPr>
          <w:sz w:val="22"/>
          <w:szCs w:val="22"/>
        </w:rPr>
        <w:fldChar w:fldCharType="end"/>
      </w:r>
      <w:r w:rsidR="00034C09">
        <w:rPr>
          <w:sz w:val="22"/>
          <w:szCs w:val="22"/>
        </w:rPr>
        <w:t xml:space="preserve">. </w:t>
      </w:r>
      <w:r w:rsidR="00AC46E5">
        <w:rPr>
          <w:sz w:val="22"/>
          <w:szCs w:val="22"/>
        </w:rPr>
        <w:t xml:space="preserve"> </w:t>
      </w:r>
      <w:r w:rsidR="00056CD3" w:rsidRPr="00CD70F3">
        <w:rPr>
          <w:sz w:val="22"/>
          <w:szCs w:val="22"/>
        </w:rPr>
        <w:t>There is a minimum</w:t>
      </w:r>
      <w:r w:rsidR="00056CD3" w:rsidRPr="007F4273">
        <w:rPr>
          <w:sz w:val="22"/>
          <w:szCs w:val="22"/>
          <w:lang w:val="en-US"/>
        </w:rPr>
        <w:t xml:space="preserve"> of 5 GHz of spectrum available between 57 to 64 GHz, with up to 14 GHz of spectrum between 57 and 71 GHz in some countries </w:t>
      </w:r>
      <w:r w:rsidR="00056CD3" w:rsidRPr="00CD70F3">
        <w:rPr>
          <w:sz w:val="22"/>
          <w:szCs w:val="22"/>
          <w:lang w:val="en-US"/>
        </w:rPr>
        <w:fldChar w:fldCharType="begin"/>
      </w:r>
      <w:r w:rsidR="00056CD3" w:rsidRPr="007F4273">
        <w:rPr>
          <w:sz w:val="22"/>
          <w:szCs w:val="22"/>
          <w:lang w:val="en-US"/>
        </w:rPr>
        <w:instrText xml:space="preserve"> REF _Ref40195455 \r \h </w:instrText>
      </w:r>
      <w:r w:rsidR="00056CD3" w:rsidRPr="00CD70F3">
        <w:rPr>
          <w:sz w:val="22"/>
          <w:szCs w:val="22"/>
          <w:lang w:val="en-US"/>
        </w:rPr>
      </w:r>
      <w:r w:rsidR="00056CD3" w:rsidRPr="00CD70F3">
        <w:rPr>
          <w:sz w:val="22"/>
          <w:szCs w:val="22"/>
          <w:lang w:val="en-US"/>
        </w:rPr>
        <w:fldChar w:fldCharType="separate"/>
      </w:r>
      <w:r w:rsidR="00034C09">
        <w:rPr>
          <w:sz w:val="22"/>
          <w:szCs w:val="22"/>
          <w:lang w:val="en-US"/>
        </w:rPr>
        <w:t>[1]</w:t>
      </w:r>
      <w:r w:rsidR="00056CD3" w:rsidRPr="00CD70F3">
        <w:rPr>
          <w:sz w:val="22"/>
          <w:szCs w:val="22"/>
          <w:lang w:val="en-US"/>
        </w:rPr>
        <w:fldChar w:fldCharType="end"/>
      </w:r>
      <w:r w:rsidR="00056CD3" w:rsidRPr="00A23697">
        <w:rPr>
          <w:sz w:val="22"/>
          <w:szCs w:val="22"/>
          <w:lang w:val="en-US"/>
        </w:rPr>
        <w:t xml:space="preserve"> and most of the </w:t>
      </w:r>
      <w:r w:rsidR="00056CD3" w:rsidRPr="007F4273">
        <w:rPr>
          <w:sz w:val="22"/>
          <w:szCs w:val="22"/>
          <w:lang w:val="en-US"/>
        </w:rPr>
        <w:t xml:space="preserve">spectrum assigned for unlicensed access. However, the multiple access rules </w:t>
      </w:r>
      <w:r w:rsidR="00AC46E5">
        <w:rPr>
          <w:sz w:val="22"/>
          <w:szCs w:val="22"/>
          <w:lang w:val="en-US"/>
        </w:rPr>
        <w:t xml:space="preserve">in the unlicensed bands </w:t>
      </w:r>
      <w:r w:rsidR="00056CD3" w:rsidRPr="007F4273">
        <w:rPr>
          <w:sz w:val="22"/>
          <w:szCs w:val="22"/>
          <w:lang w:val="en-US"/>
        </w:rPr>
        <w:t xml:space="preserve">differ for  various jurisdictional regions. In addition, in some jurisdictions, such as Europe, </w:t>
      </w:r>
      <w:r w:rsidR="0001724A">
        <w:rPr>
          <w:sz w:val="22"/>
          <w:szCs w:val="22"/>
          <w:lang w:val="en-US"/>
        </w:rPr>
        <w:t xml:space="preserve">the use of </w:t>
      </w:r>
      <w:r w:rsidR="0086366B">
        <w:rPr>
          <w:sz w:val="22"/>
          <w:szCs w:val="22"/>
          <w:lang w:val="en-US"/>
        </w:rPr>
        <w:t>more than one</w:t>
      </w:r>
      <w:r w:rsidR="00056CD3" w:rsidRPr="007F4273">
        <w:rPr>
          <w:sz w:val="22"/>
          <w:szCs w:val="22"/>
          <w:lang w:val="en-US"/>
        </w:rPr>
        <w:t xml:space="preserve"> multiple access </w:t>
      </w:r>
      <w:r w:rsidR="0001724A">
        <w:rPr>
          <w:sz w:val="22"/>
          <w:szCs w:val="22"/>
          <w:lang w:val="en-US"/>
        </w:rPr>
        <w:t xml:space="preserve">in a </w:t>
      </w:r>
      <w:r w:rsidR="00056CD3" w:rsidRPr="007F4273">
        <w:rPr>
          <w:sz w:val="22"/>
          <w:szCs w:val="22"/>
          <w:lang w:val="en-US"/>
        </w:rPr>
        <w:t xml:space="preserve">specific </w:t>
      </w:r>
      <w:r w:rsidR="0086366B">
        <w:rPr>
          <w:sz w:val="22"/>
          <w:szCs w:val="22"/>
          <w:lang w:val="en-US"/>
        </w:rPr>
        <w:t>sub-band</w:t>
      </w:r>
      <w:r w:rsidR="0001724A">
        <w:rPr>
          <w:sz w:val="22"/>
          <w:szCs w:val="22"/>
          <w:lang w:val="en-US"/>
        </w:rPr>
        <w:t xml:space="preserve"> is under discussion,</w:t>
      </w:r>
      <w:r w:rsidR="0086366B">
        <w:rPr>
          <w:sz w:val="22"/>
          <w:szCs w:val="22"/>
          <w:lang w:val="en-US"/>
        </w:rPr>
        <w:t xml:space="preserve"> where a sub-band </w:t>
      </w:r>
      <w:r w:rsidR="0001724A">
        <w:rPr>
          <w:sz w:val="22"/>
          <w:szCs w:val="22"/>
          <w:lang w:val="en-US"/>
        </w:rPr>
        <w:t>is defined by</w:t>
      </w:r>
      <w:r w:rsidR="0086366B">
        <w:rPr>
          <w:sz w:val="22"/>
          <w:szCs w:val="22"/>
          <w:lang w:val="en-US"/>
        </w:rPr>
        <w:t xml:space="preserve"> specific </w:t>
      </w:r>
      <w:r w:rsidR="0001724A">
        <w:rPr>
          <w:sz w:val="22"/>
          <w:szCs w:val="22"/>
          <w:lang w:val="en-US"/>
        </w:rPr>
        <w:t xml:space="preserve">usage </w:t>
      </w:r>
      <w:r w:rsidR="0086366B">
        <w:rPr>
          <w:sz w:val="22"/>
          <w:szCs w:val="22"/>
          <w:lang w:val="en-US"/>
        </w:rPr>
        <w:t>scenario within a frequency range e.g. outdoor only</w:t>
      </w:r>
      <w:r w:rsidR="0086366B" w:rsidRPr="007F4273">
        <w:rPr>
          <w:sz w:val="22"/>
          <w:szCs w:val="22"/>
          <w:lang w:val="en-US"/>
        </w:rPr>
        <w:t xml:space="preserve"> </w:t>
      </w:r>
      <w:r w:rsidR="00056CD3" w:rsidRPr="00A23697">
        <w:rPr>
          <w:sz w:val="22"/>
          <w:szCs w:val="22"/>
          <w:lang w:val="en-US"/>
        </w:rPr>
        <w:fldChar w:fldCharType="begin"/>
      </w:r>
      <w:r w:rsidR="00056CD3" w:rsidRPr="007F4273">
        <w:rPr>
          <w:sz w:val="22"/>
          <w:szCs w:val="22"/>
          <w:lang w:val="en-US"/>
        </w:rPr>
        <w:instrText xml:space="preserve"> REF _Ref47611931 \r \h </w:instrText>
      </w:r>
      <w:r w:rsidR="00056CD3" w:rsidRPr="00A23697">
        <w:rPr>
          <w:sz w:val="22"/>
          <w:szCs w:val="22"/>
          <w:lang w:val="en-US"/>
        </w:rPr>
      </w:r>
      <w:r w:rsidR="00056CD3" w:rsidRPr="00A23697">
        <w:rPr>
          <w:sz w:val="22"/>
          <w:szCs w:val="22"/>
          <w:lang w:val="en-US"/>
        </w:rPr>
        <w:fldChar w:fldCharType="separate"/>
      </w:r>
      <w:r w:rsidR="00034C09">
        <w:rPr>
          <w:sz w:val="22"/>
          <w:szCs w:val="22"/>
          <w:lang w:val="en-US"/>
        </w:rPr>
        <w:t>[10]</w:t>
      </w:r>
      <w:r w:rsidR="00056CD3" w:rsidRPr="00A23697">
        <w:rPr>
          <w:sz w:val="22"/>
          <w:szCs w:val="22"/>
          <w:lang w:val="en-US"/>
        </w:rPr>
        <w:fldChar w:fldCharType="end"/>
      </w:r>
      <w:r w:rsidR="00056CD3" w:rsidRPr="00A23697">
        <w:rPr>
          <w:sz w:val="22"/>
          <w:szCs w:val="22"/>
          <w:lang w:val="en-US"/>
        </w:rPr>
        <w:t xml:space="preserve">. </w:t>
      </w:r>
    </w:p>
    <w:p w14:paraId="0931E818" w14:textId="4547633C" w:rsidR="00034C09" w:rsidRDefault="00056CD3" w:rsidP="00034C09">
      <w:pPr>
        <w:jc w:val="both"/>
        <w:rPr>
          <w:rFonts w:cs="Batang"/>
          <w:sz w:val="22"/>
          <w:szCs w:val="22"/>
          <w:lang w:eastAsia="en-US"/>
        </w:rPr>
      </w:pPr>
      <w:r w:rsidRPr="00A23697">
        <w:rPr>
          <w:sz w:val="22"/>
          <w:szCs w:val="22"/>
        </w:rPr>
        <w:t xml:space="preserve">In the </w:t>
      </w:r>
      <w:r w:rsidR="00034C09">
        <w:rPr>
          <w:sz w:val="22"/>
          <w:szCs w:val="22"/>
        </w:rPr>
        <w:t>United States</w:t>
      </w:r>
      <w:r w:rsidRPr="00A23697">
        <w:rPr>
          <w:sz w:val="22"/>
          <w:szCs w:val="22"/>
        </w:rPr>
        <w:t xml:space="preserve">, no channel occupancy time, occupied channel bandwidth, and listen-before-talk requirements </w:t>
      </w:r>
      <w:r w:rsidR="0001724A">
        <w:rPr>
          <w:sz w:val="22"/>
          <w:szCs w:val="22"/>
        </w:rPr>
        <w:t>are mandated</w:t>
      </w:r>
      <w:r w:rsidR="0001724A" w:rsidRPr="00A23697">
        <w:rPr>
          <w:sz w:val="22"/>
          <w:szCs w:val="22"/>
        </w:rPr>
        <w:t xml:space="preserve"> </w:t>
      </w:r>
      <w:r w:rsidRPr="00A23697">
        <w:rPr>
          <w:sz w:val="22"/>
          <w:szCs w:val="22"/>
        </w:rPr>
        <w:t xml:space="preserve">for unlicensed operations in </w:t>
      </w:r>
      <w:r w:rsidR="0001724A">
        <w:rPr>
          <w:sz w:val="22"/>
          <w:szCs w:val="22"/>
        </w:rPr>
        <w:t xml:space="preserve">the </w:t>
      </w:r>
      <w:r w:rsidRPr="00A23697">
        <w:rPr>
          <w:sz w:val="22"/>
          <w:szCs w:val="22"/>
        </w:rPr>
        <w:t>52.6GHz</w:t>
      </w:r>
      <w:r w:rsidR="0001724A">
        <w:rPr>
          <w:sz w:val="22"/>
          <w:szCs w:val="22"/>
        </w:rPr>
        <w:t xml:space="preserve"> to 71 GHz band</w:t>
      </w:r>
      <w:r w:rsidRPr="00A23697">
        <w:rPr>
          <w:sz w:val="22"/>
          <w:szCs w:val="22"/>
        </w:rPr>
        <w:t xml:space="preserve"> </w:t>
      </w:r>
      <w:r w:rsidRPr="00A23697">
        <w:rPr>
          <w:sz w:val="22"/>
          <w:szCs w:val="22"/>
        </w:rPr>
        <w:fldChar w:fldCharType="begin"/>
      </w:r>
      <w:r w:rsidRPr="007F4273">
        <w:rPr>
          <w:sz w:val="22"/>
          <w:szCs w:val="22"/>
        </w:rPr>
        <w:instrText xml:space="preserve"> REF _Ref40195455 \r \h </w:instrText>
      </w:r>
      <w:r w:rsidRPr="00A23697">
        <w:rPr>
          <w:sz w:val="22"/>
          <w:szCs w:val="22"/>
        </w:rPr>
      </w:r>
      <w:r w:rsidRPr="00A23697">
        <w:rPr>
          <w:sz w:val="22"/>
          <w:szCs w:val="22"/>
        </w:rPr>
        <w:fldChar w:fldCharType="separate"/>
      </w:r>
      <w:r w:rsidR="00034C09">
        <w:rPr>
          <w:sz w:val="22"/>
          <w:szCs w:val="22"/>
        </w:rPr>
        <w:t>[1]</w:t>
      </w:r>
      <w:r w:rsidRPr="00A23697">
        <w:rPr>
          <w:sz w:val="22"/>
          <w:szCs w:val="22"/>
        </w:rPr>
        <w:fldChar w:fldCharType="end"/>
      </w:r>
      <w:r w:rsidRPr="00A23697">
        <w:rPr>
          <w:sz w:val="22"/>
          <w:szCs w:val="22"/>
        </w:rPr>
        <w:t xml:space="preserve">. </w:t>
      </w:r>
      <w:r>
        <w:rPr>
          <w:sz w:val="22"/>
          <w:szCs w:val="22"/>
        </w:rPr>
        <w:t xml:space="preserve"> </w:t>
      </w:r>
      <w:r w:rsidR="00034C09">
        <w:rPr>
          <w:rFonts w:cs="Batang"/>
          <w:sz w:val="22"/>
          <w:szCs w:val="22"/>
          <w:lang w:eastAsia="en-US"/>
        </w:rPr>
        <w:t>In addition, there limits to the peak power that can be transmitted but no mandates on multiple access or occupied channel bandwidth.</w:t>
      </w:r>
    </w:p>
    <w:p w14:paraId="15EC78E9" w14:textId="77777777" w:rsidR="005249B0" w:rsidRDefault="005249B0" w:rsidP="00D32078">
      <w:pPr>
        <w:jc w:val="both"/>
        <w:rPr>
          <w:rFonts w:cs="Batang"/>
          <w:sz w:val="22"/>
          <w:szCs w:val="22"/>
          <w:lang w:val="en-GB" w:eastAsia="en-US"/>
        </w:rPr>
      </w:pPr>
    </w:p>
    <w:p w14:paraId="5EFD417A" w14:textId="18D75F43" w:rsidR="005249B0" w:rsidRDefault="005249B0" w:rsidP="005249B0">
      <w:pPr>
        <w:jc w:val="both"/>
        <w:rPr>
          <w:rFonts w:cs="Batang"/>
          <w:sz w:val="22"/>
          <w:szCs w:val="22"/>
          <w:lang w:val="en-GB" w:eastAsia="en-US"/>
        </w:rPr>
      </w:pPr>
      <w:r>
        <w:rPr>
          <w:rFonts w:cs="Batang"/>
          <w:sz w:val="22"/>
          <w:szCs w:val="22"/>
          <w:lang w:val="en-GB" w:eastAsia="en-US"/>
        </w:rPr>
        <w:t>In Europe t</w:t>
      </w:r>
      <w:r w:rsidRPr="005249B0">
        <w:rPr>
          <w:rFonts w:cs="Batang"/>
          <w:sz w:val="22"/>
          <w:szCs w:val="22"/>
          <w:lang w:val="en-GB" w:eastAsia="en-US"/>
        </w:rPr>
        <w:t xml:space="preserve">he WDTS device category covers radio devices that use wideband modulation techniques for spectrum access. Typical uses include wireless access systems such as radio local area networks (WAS/RLANs) or wideband </w:t>
      </w:r>
      <w:r>
        <w:rPr>
          <w:rFonts w:cs="Batang"/>
          <w:sz w:val="22"/>
          <w:szCs w:val="22"/>
          <w:lang w:val="en-GB" w:eastAsia="en-US"/>
        </w:rPr>
        <w:t xml:space="preserve">Short-Range Devices (SRD) </w:t>
      </w:r>
      <w:r w:rsidRPr="005249B0">
        <w:rPr>
          <w:rFonts w:cs="Batang"/>
          <w:sz w:val="22"/>
          <w:szCs w:val="22"/>
          <w:lang w:val="en-GB" w:eastAsia="en-US"/>
        </w:rPr>
        <w:t>in data networks</w:t>
      </w:r>
      <w:r>
        <w:rPr>
          <w:rFonts w:cs="Batang"/>
          <w:sz w:val="22"/>
          <w:szCs w:val="22"/>
          <w:lang w:val="en-GB" w:eastAsia="en-US"/>
        </w:rPr>
        <w:t xml:space="preserve"> and defines three </w:t>
      </w:r>
      <w:r w:rsidR="0001724A">
        <w:rPr>
          <w:rFonts w:cs="Batang"/>
          <w:sz w:val="22"/>
          <w:szCs w:val="22"/>
          <w:lang w:val="en-GB" w:eastAsia="en-US"/>
        </w:rPr>
        <w:t xml:space="preserve">sub-bands </w:t>
      </w:r>
      <w:r>
        <w:rPr>
          <w:rFonts w:cs="Batang"/>
          <w:sz w:val="22"/>
          <w:szCs w:val="22"/>
          <w:lang w:val="en-GB" w:eastAsia="en-US"/>
        </w:rPr>
        <w:t xml:space="preserve">as shown in </w:t>
      </w:r>
      <w:r w:rsidR="0001724A">
        <w:rPr>
          <w:rFonts w:cs="Batang"/>
          <w:sz w:val="22"/>
          <w:szCs w:val="22"/>
          <w:lang w:val="en-GB" w:eastAsia="en-US"/>
        </w:rPr>
        <w:fldChar w:fldCharType="begin"/>
      </w:r>
      <w:r w:rsidR="0001724A">
        <w:rPr>
          <w:rFonts w:cs="Batang"/>
          <w:sz w:val="22"/>
          <w:szCs w:val="22"/>
          <w:lang w:val="en-GB" w:eastAsia="en-US"/>
        </w:rPr>
        <w:instrText xml:space="preserve"> REF _Ref47673568 \h </w:instrText>
      </w:r>
      <w:r w:rsidR="0001724A">
        <w:rPr>
          <w:rFonts w:cs="Batang"/>
          <w:sz w:val="22"/>
          <w:szCs w:val="22"/>
          <w:lang w:val="en-GB" w:eastAsia="en-US"/>
        </w:rPr>
      </w:r>
      <w:r w:rsidR="0001724A">
        <w:rPr>
          <w:rFonts w:cs="Batang"/>
          <w:sz w:val="22"/>
          <w:szCs w:val="22"/>
          <w:lang w:val="en-GB" w:eastAsia="en-US"/>
        </w:rPr>
        <w:fldChar w:fldCharType="separate"/>
      </w:r>
      <w:r w:rsidR="00034C09">
        <w:t xml:space="preserve">Table </w:t>
      </w:r>
      <w:r w:rsidR="00034C09">
        <w:rPr>
          <w:noProof/>
        </w:rPr>
        <w:t>1</w:t>
      </w:r>
      <w:r w:rsidR="0001724A">
        <w:rPr>
          <w:rFonts w:cs="Batang"/>
          <w:sz w:val="22"/>
          <w:szCs w:val="22"/>
          <w:lang w:val="en-GB" w:eastAsia="en-US"/>
        </w:rPr>
        <w:fldChar w:fldCharType="end"/>
      </w:r>
      <w:r w:rsidR="0001724A">
        <w:rPr>
          <w:rFonts w:cs="Batang"/>
          <w:sz w:val="22"/>
          <w:szCs w:val="22"/>
          <w:lang w:val="en-GB" w:eastAsia="en-US"/>
        </w:rPr>
        <w:t xml:space="preserve"> </w:t>
      </w:r>
      <w:r>
        <w:rPr>
          <w:rFonts w:cs="Batang"/>
          <w:sz w:val="22"/>
          <w:szCs w:val="22"/>
          <w:lang w:val="en-GB" w:eastAsia="en-US"/>
        </w:rPr>
        <w:t>below</w:t>
      </w:r>
      <w:r w:rsidR="00034C09">
        <w:rPr>
          <w:rFonts w:cs="Batang"/>
          <w:sz w:val="22"/>
          <w:szCs w:val="22"/>
          <w:lang w:val="en-GB" w:eastAsia="en-US"/>
        </w:rPr>
        <w:t xml:space="preserve"> </w:t>
      </w:r>
      <w:r w:rsidR="00034C09">
        <w:rPr>
          <w:rFonts w:cs="Batang"/>
          <w:sz w:val="22"/>
          <w:szCs w:val="22"/>
          <w:lang w:val="en-GB" w:eastAsia="en-US"/>
        </w:rPr>
        <w:fldChar w:fldCharType="begin"/>
      </w:r>
      <w:r w:rsidR="00034C09">
        <w:rPr>
          <w:rFonts w:cs="Batang"/>
          <w:sz w:val="22"/>
          <w:szCs w:val="22"/>
          <w:lang w:val="en-GB" w:eastAsia="en-US"/>
        </w:rPr>
        <w:instrText xml:space="preserve"> REF _Ref47711709 \r \h </w:instrText>
      </w:r>
      <w:r w:rsidR="00034C09">
        <w:rPr>
          <w:rFonts w:cs="Batang"/>
          <w:sz w:val="22"/>
          <w:szCs w:val="22"/>
          <w:lang w:val="en-GB" w:eastAsia="en-US"/>
        </w:rPr>
      </w:r>
      <w:r w:rsidR="00034C09">
        <w:rPr>
          <w:rFonts w:cs="Batang"/>
          <w:sz w:val="22"/>
          <w:szCs w:val="22"/>
          <w:lang w:val="en-GB" w:eastAsia="en-US"/>
        </w:rPr>
        <w:fldChar w:fldCharType="separate"/>
      </w:r>
      <w:r w:rsidR="00034C09">
        <w:rPr>
          <w:rFonts w:cs="Batang"/>
          <w:sz w:val="22"/>
          <w:szCs w:val="22"/>
          <w:lang w:val="en-GB" w:eastAsia="en-US"/>
        </w:rPr>
        <w:t>[10]</w:t>
      </w:r>
      <w:r w:rsidR="00034C09">
        <w:rPr>
          <w:rFonts w:cs="Batang"/>
          <w:sz w:val="22"/>
          <w:szCs w:val="22"/>
          <w:lang w:val="en-GB" w:eastAsia="en-US"/>
        </w:rPr>
        <w:fldChar w:fldCharType="end"/>
      </w:r>
      <w:r>
        <w:rPr>
          <w:rFonts w:cs="Batang"/>
          <w:sz w:val="22"/>
          <w:szCs w:val="22"/>
          <w:lang w:val="en-GB" w:eastAsia="en-US"/>
        </w:rPr>
        <w:t>:</w:t>
      </w:r>
    </w:p>
    <w:p w14:paraId="7365716B" w14:textId="1BC84AB9" w:rsidR="005249B0" w:rsidRDefault="005249B0" w:rsidP="005249B0">
      <w:pPr>
        <w:jc w:val="both"/>
        <w:rPr>
          <w:rFonts w:cs="Batang"/>
          <w:sz w:val="22"/>
          <w:szCs w:val="22"/>
          <w:lang w:val="en-GB" w:eastAsia="en-US"/>
        </w:rPr>
      </w:pPr>
    </w:p>
    <w:p w14:paraId="49F448B2" w14:textId="4B5AC0E9" w:rsidR="0001724A" w:rsidRDefault="0001724A" w:rsidP="00615713">
      <w:pPr>
        <w:pStyle w:val="Caption"/>
        <w:keepNext/>
      </w:pPr>
      <w:bookmarkStart w:id="0" w:name="_Ref47673568"/>
      <w:r>
        <w:t xml:space="preserve">Table </w:t>
      </w:r>
      <w:fldSimple w:instr=" SEQ Table \* ARABIC ">
        <w:r w:rsidR="00034C09">
          <w:rPr>
            <w:noProof/>
          </w:rPr>
          <w:t>1</w:t>
        </w:r>
      </w:fldSimple>
      <w:bookmarkEnd w:id="0"/>
      <w:r>
        <w:t>: Regulatory Parameters</w:t>
      </w:r>
    </w:p>
    <w:p w14:paraId="6DE749E3" w14:textId="5F71F7CA" w:rsidR="005249B0" w:rsidRDefault="005249B0" w:rsidP="00DB340F">
      <w:pPr>
        <w:jc w:val="center"/>
        <w:rPr>
          <w:rFonts w:cs="Batang"/>
          <w:sz w:val="22"/>
          <w:szCs w:val="22"/>
          <w:lang w:val="en-GB" w:eastAsia="en-US"/>
        </w:rPr>
      </w:pPr>
      <w:r w:rsidRPr="005249B0">
        <w:rPr>
          <w:rFonts w:cs="Batang"/>
          <w:noProof/>
          <w:sz w:val="22"/>
          <w:szCs w:val="22"/>
          <w:lang w:val="en-GB" w:eastAsia="en-US"/>
        </w:rPr>
        <w:drawing>
          <wp:inline distT="0" distB="0" distL="0" distR="0" wp14:anchorId="323BF4AC" wp14:editId="0718C790">
            <wp:extent cx="3363986" cy="1628717"/>
            <wp:effectExtent l="0" t="0" r="1905"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ell phone&#10;&#10;Description automatically generated"/>
                    <pic:cNvPicPr/>
                  </pic:nvPicPr>
                  <pic:blipFill>
                    <a:blip r:embed="rId6"/>
                    <a:stretch>
                      <a:fillRect/>
                    </a:stretch>
                  </pic:blipFill>
                  <pic:spPr>
                    <a:xfrm>
                      <a:off x="0" y="0"/>
                      <a:ext cx="3375621" cy="1634350"/>
                    </a:xfrm>
                    <a:prstGeom prst="rect">
                      <a:avLst/>
                    </a:prstGeom>
                  </pic:spPr>
                </pic:pic>
              </a:graphicData>
            </a:graphic>
          </wp:inline>
        </w:drawing>
      </w:r>
    </w:p>
    <w:p w14:paraId="12B400B0" w14:textId="1E8B2420" w:rsidR="005249B0" w:rsidRDefault="005249B0" w:rsidP="005249B0">
      <w:pPr>
        <w:jc w:val="both"/>
        <w:rPr>
          <w:rFonts w:cs="Batang"/>
          <w:sz w:val="22"/>
          <w:szCs w:val="22"/>
          <w:lang w:val="en-GB" w:eastAsia="en-US"/>
        </w:rPr>
      </w:pPr>
    </w:p>
    <w:p w14:paraId="6370A928" w14:textId="77777777" w:rsidR="005249B0" w:rsidRDefault="005249B0" w:rsidP="00F90A07">
      <w:pPr>
        <w:jc w:val="both"/>
        <w:rPr>
          <w:rFonts w:cs="Batang"/>
          <w:sz w:val="22"/>
          <w:szCs w:val="22"/>
          <w:lang w:val="en-GB" w:eastAsia="en-US"/>
        </w:rPr>
      </w:pPr>
    </w:p>
    <w:p w14:paraId="3624FEE8" w14:textId="4CF2A68F" w:rsidR="00007C75" w:rsidRDefault="0001724A" w:rsidP="00F90A07">
      <w:pPr>
        <w:jc w:val="both"/>
        <w:rPr>
          <w:rFonts w:cs="Batang"/>
          <w:sz w:val="22"/>
          <w:szCs w:val="22"/>
          <w:lang w:eastAsia="en-US"/>
        </w:rPr>
      </w:pPr>
      <w:r>
        <w:rPr>
          <w:rFonts w:cs="Batang"/>
          <w:sz w:val="22"/>
          <w:szCs w:val="22"/>
          <w:lang w:val="en-GB" w:eastAsia="en-US"/>
        </w:rPr>
        <w:t xml:space="preserve">Sub-band </w:t>
      </w:r>
      <w:r w:rsidR="005249B0">
        <w:rPr>
          <w:rFonts w:cs="Batang"/>
          <w:sz w:val="22"/>
          <w:szCs w:val="22"/>
          <w:lang w:val="en-GB" w:eastAsia="en-US"/>
        </w:rPr>
        <w:t>c1</w:t>
      </w:r>
      <w:r w:rsidR="00034C09">
        <w:rPr>
          <w:rFonts w:cs="Batang"/>
          <w:sz w:val="22"/>
          <w:szCs w:val="22"/>
          <w:lang w:val="en-GB" w:eastAsia="en-US"/>
        </w:rPr>
        <w:t>, which covers low-power indoor operation,</w:t>
      </w:r>
      <w:r w:rsidR="005249B0">
        <w:rPr>
          <w:rFonts w:cs="Batang"/>
          <w:sz w:val="22"/>
          <w:szCs w:val="22"/>
          <w:lang w:val="en-GB" w:eastAsia="en-US"/>
        </w:rPr>
        <w:t xml:space="preserve"> is governed by the ETSI harmonized standard </w:t>
      </w:r>
      <w:r w:rsidR="005249B0" w:rsidRPr="005249B0">
        <w:rPr>
          <w:rFonts w:cs="Batang"/>
          <w:sz w:val="22"/>
          <w:szCs w:val="22"/>
          <w:lang w:eastAsia="en-US"/>
        </w:rPr>
        <w:t>“ETSI EN 302 567 V2.1.1 (2017-05)</w:t>
      </w:r>
      <w:r w:rsidR="005249B0">
        <w:rPr>
          <w:rFonts w:cs="Batang"/>
          <w:sz w:val="22"/>
          <w:szCs w:val="22"/>
          <w:lang w:eastAsia="en-US"/>
        </w:rPr>
        <w:t>”</w:t>
      </w:r>
      <w:r w:rsidR="005249B0" w:rsidRPr="005249B0">
        <w:rPr>
          <w:rFonts w:cs="Batang"/>
          <w:sz w:val="22"/>
          <w:szCs w:val="22"/>
          <w:lang w:eastAsia="en-US"/>
        </w:rPr>
        <w:t>,</w:t>
      </w:r>
      <w:r w:rsidR="005249B0">
        <w:rPr>
          <w:rFonts w:cs="Batang"/>
          <w:sz w:val="22"/>
          <w:szCs w:val="22"/>
          <w:lang w:eastAsia="en-US"/>
        </w:rPr>
        <w:t xml:space="preserve"> that mandates Listen-Before-Talk</w:t>
      </w:r>
      <w:r w:rsidR="00034C09">
        <w:rPr>
          <w:rFonts w:cs="Batang"/>
          <w:sz w:val="22"/>
          <w:szCs w:val="22"/>
          <w:lang w:eastAsia="en-US"/>
        </w:rPr>
        <w:t xml:space="preserve"> for channel access</w:t>
      </w:r>
      <w:r w:rsidR="005249B0">
        <w:rPr>
          <w:rFonts w:cs="Batang"/>
          <w:sz w:val="22"/>
          <w:szCs w:val="22"/>
          <w:lang w:eastAsia="en-US"/>
        </w:rPr>
        <w:t xml:space="preserve"> </w:t>
      </w:r>
      <w:r w:rsidR="005249B0">
        <w:rPr>
          <w:rFonts w:cs="Batang"/>
          <w:sz w:val="22"/>
          <w:szCs w:val="22"/>
          <w:lang w:eastAsia="en-US"/>
        </w:rPr>
        <w:fldChar w:fldCharType="begin"/>
      </w:r>
      <w:r w:rsidR="005249B0">
        <w:rPr>
          <w:rFonts w:cs="Batang"/>
          <w:sz w:val="22"/>
          <w:szCs w:val="22"/>
          <w:lang w:eastAsia="en-US"/>
        </w:rPr>
        <w:instrText xml:space="preserve"> REF _Ref40413541 \r \h </w:instrText>
      </w:r>
      <w:r w:rsidR="005249B0">
        <w:rPr>
          <w:rFonts w:cs="Batang"/>
          <w:sz w:val="22"/>
          <w:szCs w:val="22"/>
          <w:lang w:eastAsia="en-US"/>
        </w:rPr>
      </w:r>
      <w:r w:rsidR="005249B0">
        <w:rPr>
          <w:rFonts w:cs="Batang"/>
          <w:sz w:val="22"/>
          <w:szCs w:val="22"/>
          <w:lang w:eastAsia="en-US"/>
        </w:rPr>
        <w:fldChar w:fldCharType="separate"/>
      </w:r>
      <w:r w:rsidR="00034C09">
        <w:rPr>
          <w:rFonts w:cs="Batang"/>
          <w:sz w:val="22"/>
          <w:szCs w:val="22"/>
          <w:lang w:eastAsia="en-US"/>
        </w:rPr>
        <w:t>[7]</w:t>
      </w:r>
      <w:r w:rsidR="005249B0">
        <w:rPr>
          <w:rFonts w:cs="Batang"/>
          <w:sz w:val="22"/>
          <w:szCs w:val="22"/>
          <w:lang w:eastAsia="en-US"/>
        </w:rPr>
        <w:fldChar w:fldCharType="end"/>
      </w:r>
      <w:r w:rsidR="005249B0">
        <w:rPr>
          <w:rFonts w:cs="Batang"/>
          <w:sz w:val="22"/>
          <w:szCs w:val="22"/>
          <w:lang w:eastAsia="en-US"/>
        </w:rPr>
        <w:t xml:space="preserve">. </w:t>
      </w:r>
      <w:r>
        <w:rPr>
          <w:rFonts w:cs="Batang"/>
          <w:sz w:val="22"/>
          <w:szCs w:val="22"/>
          <w:lang w:eastAsia="en-US"/>
        </w:rPr>
        <w:t xml:space="preserve">Sub-bands </w:t>
      </w:r>
      <w:r w:rsidR="005249B0">
        <w:rPr>
          <w:rFonts w:cs="Batang"/>
          <w:sz w:val="22"/>
          <w:szCs w:val="22"/>
          <w:lang w:eastAsia="en-US"/>
        </w:rPr>
        <w:t>c2 and c3</w:t>
      </w:r>
      <w:r w:rsidR="00034C09">
        <w:rPr>
          <w:rFonts w:cs="Batang"/>
          <w:sz w:val="22"/>
          <w:szCs w:val="22"/>
          <w:lang w:eastAsia="en-US"/>
        </w:rPr>
        <w:t>, which cover both low power and high power directional operation,</w:t>
      </w:r>
      <w:r w:rsidR="005249B0">
        <w:rPr>
          <w:rFonts w:cs="Batang"/>
          <w:sz w:val="22"/>
          <w:szCs w:val="22"/>
          <w:lang w:eastAsia="en-US"/>
        </w:rPr>
        <w:t xml:space="preserve"> are governed by a Draft ETSI standard under discussion “ </w:t>
      </w:r>
      <w:r w:rsidR="005249B0" w:rsidRPr="005249B0">
        <w:rPr>
          <w:rFonts w:cs="Batang"/>
          <w:sz w:val="22"/>
          <w:szCs w:val="22"/>
          <w:lang w:eastAsia="en-US"/>
        </w:rPr>
        <w:t>Draft ETSI EN 303 722 V0.0.3 (2019-12)</w:t>
      </w:r>
      <w:r w:rsidR="005249B0">
        <w:rPr>
          <w:rFonts w:cs="Batang"/>
          <w:sz w:val="22"/>
          <w:szCs w:val="22"/>
          <w:lang w:eastAsia="en-US"/>
        </w:rPr>
        <w:t xml:space="preserve">” </w:t>
      </w:r>
      <w:r w:rsidR="005249B0">
        <w:rPr>
          <w:rFonts w:cs="Batang"/>
          <w:sz w:val="22"/>
          <w:szCs w:val="22"/>
          <w:lang w:eastAsia="en-US"/>
        </w:rPr>
        <w:fldChar w:fldCharType="begin"/>
      </w:r>
      <w:r w:rsidR="005249B0">
        <w:rPr>
          <w:rFonts w:cs="Batang"/>
          <w:sz w:val="22"/>
          <w:szCs w:val="22"/>
          <w:lang w:eastAsia="en-US"/>
        </w:rPr>
        <w:instrText xml:space="preserve"> REF _Ref47613999 \r \h </w:instrText>
      </w:r>
      <w:r w:rsidR="005249B0">
        <w:rPr>
          <w:rFonts w:cs="Batang"/>
          <w:sz w:val="22"/>
          <w:szCs w:val="22"/>
          <w:lang w:eastAsia="en-US"/>
        </w:rPr>
      </w:r>
      <w:r w:rsidR="005249B0">
        <w:rPr>
          <w:rFonts w:cs="Batang"/>
          <w:sz w:val="22"/>
          <w:szCs w:val="22"/>
          <w:lang w:eastAsia="en-US"/>
        </w:rPr>
        <w:fldChar w:fldCharType="separate"/>
      </w:r>
      <w:r w:rsidR="00034C09">
        <w:rPr>
          <w:rFonts w:cs="Batang"/>
          <w:sz w:val="22"/>
          <w:szCs w:val="22"/>
          <w:lang w:eastAsia="en-US"/>
        </w:rPr>
        <w:t>[8]</w:t>
      </w:r>
      <w:r w:rsidR="005249B0">
        <w:rPr>
          <w:rFonts w:cs="Batang"/>
          <w:sz w:val="22"/>
          <w:szCs w:val="22"/>
          <w:lang w:eastAsia="en-US"/>
        </w:rPr>
        <w:fldChar w:fldCharType="end"/>
      </w:r>
      <w:r w:rsidR="005249B0">
        <w:rPr>
          <w:rFonts w:cs="Batang"/>
          <w:sz w:val="22"/>
          <w:szCs w:val="22"/>
          <w:lang w:eastAsia="en-US"/>
        </w:rPr>
        <w:t xml:space="preserve"> that currently mandates only Automatic Transmit Power Control (ATPC). </w:t>
      </w:r>
      <w:r w:rsidR="00570639">
        <w:rPr>
          <w:rFonts w:cs="Batang"/>
          <w:sz w:val="22"/>
          <w:szCs w:val="22"/>
          <w:lang w:eastAsia="en-US"/>
        </w:rPr>
        <w:t>Thus,</w:t>
      </w:r>
      <w:r>
        <w:rPr>
          <w:rFonts w:cs="Batang"/>
          <w:sz w:val="22"/>
          <w:szCs w:val="22"/>
          <w:lang w:eastAsia="en-US"/>
        </w:rPr>
        <w:t xml:space="preserve"> multiple access method used is dependent on the sub-band of operation.</w:t>
      </w:r>
    </w:p>
    <w:p w14:paraId="5E5E0DB8" w14:textId="19020304" w:rsidR="00007C75" w:rsidRDefault="00007C75" w:rsidP="00F90A07">
      <w:pPr>
        <w:jc w:val="both"/>
        <w:rPr>
          <w:rFonts w:cs="Batang"/>
          <w:sz w:val="22"/>
          <w:szCs w:val="22"/>
          <w:lang w:eastAsia="en-US"/>
        </w:rPr>
      </w:pPr>
    </w:p>
    <w:p w14:paraId="450AD5B9" w14:textId="2D967C1F" w:rsidR="00007C75" w:rsidRDefault="00007C75" w:rsidP="00F90A07">
      <w:pPr>
        <w:jc w:val="both"/>
        <w:rPr>
          <w:rFonts w:cs="Batang"/>
          <w:sz w:val="22"/>
          <w:szCs w:val="22"/>
          <w:lang w:eastAsia="en-US"/>
        </w:rPr>
      </w:pPr>
      <w:r>
        <w:rPr>
          <w:rFonts w:cs="Batang"/>
          <w:sz w:val="22"/>
          <w:szCs w:val="22"/>
          <w:lang w:eastAsia="en-US"/>
        </w:rPr>
        <w:t xml:space="preserve">A simple comparison of </w:t>
      </w:r>
      <w:r w:rsidR="0001724A">
        <w:rPr>
          <w:rFonts w:cs="Batang"/>
          <w:sz w:val="22"/>
          <w:szCs w:val="22"/>
          <w:lang w:eastAsia="en-US"/>
        </w:rPr>
        <w:t xml:space="preserve">the different regulations  </w:t>
      </w:r>
      <w:r>
        <w:rPr>
          <w:rFonts w:cs="Batang"/>
          <w:sz w:val="22"/>
          <w:szCs w:val="22"/>
          <w:lang w:eastAsia="en-US"/>
        </w:rPr>
        <w:t>is shown in the table below</w:t>
      </w:r>
      <w:r w:rsidR="0001724A">
        <w:rPr>
          <w:rFonts w:cs="Batang"/>
          <w:sz w:val="22"/>
          <w:szCs w:val="22"/>
          <w:lang w:eastAsia="en-US"/>
        </w:rPr>
        <w:t>:</w:t>
      </w:r>
    </w:p>
    <w:p w14:paraId="6D542195" w14:textId="4F993C5A" w:rsidR="00007C75" w:rsidRDefault="00007C75" w:rsidP="00F90A07">
      <w:pPr>
        <w:jc w:val="both"/>
        <w:rPr>
          <w:rFonts w:cs="Batang"/>
          <w:sz w:val="22"/>
          <w:szCs w:val="22"/>
          <w:lang w:eastAsia="en-US"/>
        </w:rPr>
      </w:pPr>
    </w:p>
    <w:p w14:paraId="44AD1FD6" w14:textId="5BE3C874" w:rsidR="00007C75" w:rsidRDefault="00007C75" w:rsidP="00DB340F">
      <w:pPr>
        <w:jc w:val="center"/>
        <w:rPr>
          <w:rFonts w:cs="Batang"/>
          <w:sz w:val="22"/>
          <w:szCs w:val="22"/>
          <w:lang w:eastAsia="en-US"/>
        </w:rPr>
      </w:pPr>
      <w:r w:rsidRPr="00007C75">
        <w:rPr>
          <w:rFonts w:cs="Batang"/>
          <w:noProof/>
          <w:sz w:val="22"/>
          <w:szCs w:val="22"/>
          <w:lang w:eastAsia="en-US"/>
        </w:rPr>
        <w:drawing>
          <wp:inline distT="0" distB="0" distL="0" distR="0" wp14:anchorId="1117F86A" wp14:editId="5FA1C3DC">
            <wp:extent cx="5461000" cy="2705100"/>
            <wp:effectExtent l="0" t="0" r="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ell phone&#10;&#10;Description automatically generated"/>
                    <pic:cNvPicPr/>
                  </pic:nvPicPr>
                  <pic:blipFill>
                    <a:blip r:embed="rId7"/>
                    <a:stretch>
                      <a:fillRect/>
                    </a:stretch>
                  </pic:blipFill>
                  <pic:spPr>
                    <a:xfrm>
                      <a:off x="0" y="0"/>
                      <a:ext cx="5461000" cy="2705100"/>
                    </a:xfrm>
                    <a:prstGeom prst="rect">
                      <a:avLst/>
                    </a:prstGeom>
                  </pic:spPr>
                </pic:pic>
              </a:graphicData>
            </a:graphic>
          </wp:inline>
        </w:drawing>
      </w:r>
    </w:p>
    <w:p w14:paraId="4C8DFBCE" w14:textId="4B69FCE5" w:rsidR="00007C75" w:rsidRDefault="00007C75" w:rsidP="00F90A07">
      <w:pPr>
        <w:jc w:val="both"/>
        <w:rPr>
          <w:rFonts w:cs="Batang"/>
          <w:sz w:val="22"/>
          <w:szCs w:val="22"/>
          <w:lang w:eastAsia="en-US"/>
        </w:rPr>
      </w:pPr>
    </w:p>
    <w:p w14:paraId="7A8AF974" w14:textId="4F602F3C" w:rsidR="00056CD3" w:rsidRDefault="00007C75" w:rsidP="00F90A07">
      <w:pPr>
        <w:jc w:val="both"/>
        <w:rPr>
          <w:rFonts w:cs="Batang"/>
          <w:sz w:val="22"/>
          <w:szCs w:val="22"/>
          <w:lang w:eastAsia="en-US"/>
        </w:rPr>
      </w:pPr>
      <w:r>
        <w:rPr>
          <w:rFonts w:cs="Batang"/>
          <w:sz w:val="22"/>
          <w:szCs w:val="22"/>
          <w:lang w:eastAsia="en-US"/>
        </w:rPr>
        <w:t xml:space="preserve">Typically, unlicensed access for different standards is determined by the most restrictive regulatory jurisdiction. For example in unlicensed access around 6 GHz, both 3GPP (with LAA, e-LAA and NR-U) and </w:t>
      </w:r>
      <w:r w:rsidR="0001724A">
        <w:rPr>
          <w:rFonts w:cs="Batang"/>
          <w:sz w:val="22"/>
          <w:szCs w:val="22"/>
          <w:lang w:eastAsia="en-US"/>
        </w:rPr>
        <w:t xml:space="preserve">IEEE </w:t>
      </w:r>
      <w:r>
        <w:rPr>
          <w:rFonts w:cs="Batang"/>
          <w:sz w:val="22"/>
          <w:szCs w:val="22"/>
          <w:lang w:eastAsia="en-US"/>
        </w:rPr>
        <w:t xml:space="preserve">802.11 (with </w:t>
      </w:r>
      <w:r w:rsidR="0001724A">
        <w:rPr>
          <w:rFonts w:cs="Batang"/>
          <w:sz w:val="22"/>
          <w:szCs w:val="22"/>
          <w:lang w:eastAsia="en-US"/>
        </w:rPr>
        <w:t xml:space="preserve">IEEE </w:t>
      </w:r>
      <w:r>
        <w:rPr>
          <w:rFonts w:cs="Batang"/>
          <w:sz w:val="22"/>
          <w:szCs w:val="22"/>
          <w:lang w:eastAsia="en-US"/>
        </w:rPr>
        <w:t xml:space="preserve">802.11ax and its earlier generations) comply with the LBT </w:t>
      </w:r>
      <w:r w:rsidR="00056CD3">
        <w:rPr>
          <w:rFonts w:cs="Batang"/>
          <w:sz w:val="22"/>
          <w:szCs w:val="22"/>
          <w:lang w:eastAsia="en-US"/>
        </w:rPr>
        <w:t xml:space="preserve">regulations found in </w:t>
      </w:r>
      <w:r w:rsidR="00056CD3">
        <w:rPr>
          <w:rFonts w:cs="Batang"/>
          <w:sz w:val="22"/>
          <w:szCs w:val="22"/>
          <w:lang w:eastAsia="en-US"/>
        </w:rPr>
        <w:fldChar w:fldCharType="begin"/>
      </w:r>
      <w:r w:rsidR="00056CD3">
        <w:rPr>
          <w:rFonts w:cs="Batang"/>
          <w:sz w:val="22"/>
          <w:szCs w:val="22"/>
          <w:lang w:eastAsia="en-US"/>
        </w:rPr>
        <w:instrText xml:space="preserve"> REF _Ref40393515 \r \h </w:instrText>
      </w:r>
      <w:r w:rsidR="00056CD3">
        <w:rPr>
          <w:rFonts w:cs="Batang"/>
          <w:sz w:val="22"/>
          <w:szCs w:val="22"/>
          <w:lang w:eastAsia="en-US"/>
        </w:rPr>
      </w:r>
      <w:r w:rsidR="00056CD3">
        <w:rPr>
          <w:rFonts w:cs="Batang"/>
          <w:sz w:val="22"/>
          <w:szCs w:val="22"/>
          <w:lang w:eastAsia="en-US"/>
        </w:rPr>
        <w:fldChar w:fldCharType="separate"/>
      </w:r>
      <w:r w:rsidR="00034C09">
        <w:rPr>
          <w:rFonts w:cs="Batang"/>
          <w:sz w:val="22"/>
          <w:szCs w:val="22"/>
          <w:lang w:eastAsia="en-US"/>
        </w:rPr>
        <w:t>[6]</w:t>
      </w:r>
      <w:r w:rsidR="00056CD3">
        <w:rPr>
          <w:rFonts w:cs="Batang"/>
          <w:sz w:val="22"/>
          <w:szCs w:val="22"/>
          <w:lang w:eastAsia="en-US"/>
        </w:rPr>
        <w:fldChar w:fldCharType="end"/>
      </w:r>
      <w:r w:rsidR="00056CD3">
        <w:rPr>
          <w:rFonts w:cs="Batang"/>
          <w:sz w:val="22"/>
          <w:szCs w:val="22"/>
          <w:lang w:eastAsia="en-US"/>
        </w:rPr>
        <w:t xml:space="preserve">. In 60 GHz, </w:t>
      </w:r>
      <w:r w:rsidR="0001724A">
        <w:rPr>
          <w:rFonts w:cs="Batang"/>
          <w:sz w:val="22"/>
          <w:szCs w:val="22"/>
          <w:lang w:eastAsia="en-US"/>
        </w:rPr>
        <w:t xml:space="preserve">IEEE </w:t>
      </w:r>
      <w:r w:rsidR="00056CD3">
        <w:rPr>
          <w:rFonts w:cs="Batang"/>
          <w:sz w:val="22"/>
          <w:szCs w:val="22"/>
          <w:lang w:eastAsia="en-US"/>
        </w:rPr>
        <w:t xml:space="preserve">802.11ay and its earlier generations comply with the LBT regulations found in </w:t>
      </w:r>
      <w:r w:rsidR="00056CD3">
        <w:rPr>
          <w:rFonts w:cs="Batang"/>
          <w:sz w:val="22"/>
          <w:szCs w:val="22"/>
          <w:lang w:eastAsia="en-US"/>
        </w:rPr>
        <w:fldChar w:fldCharType="begin"/>
      </w:r>
      <w:r w:rsidR="00056CD3">
        <w:rPr>
          <w:rFonts w:cs="Batang"/>
          <w:sz w:val="22"/>
          <w:szCs w:val="22"/>
          <w:lang w:eastAsia="en-US"/>
        </w:rPr>
        <w:instrText xml:space="preserve"> REF _Ref40413541 \r \h </w:instrText>
      </w:r>
      <w:r w:rsidR="00056CD3">
        <w:rPr>
          <w:rFonts w:cs="Batang"/>
          <w:sz w:val="22"/>
          <w:szCs w:val="22"/>
          <w:lang w:eastAsia="en-US"/>
        </w:rPr>
      </w:r>
      <w:r w:rsidR="00056CD3">
        <w:rPr>
          <w:rFonts w:cs="Batang"/>
          <w:sz w:val="22"/>
          <w:szCs w:val="22"/>
          <w:lang w:eastAsia="en-US"/>
        </w:rPr>
        <w:fldChar w:fldCharType="separate"/>
      </w:r>
      <w:r w:rsidR="00034C09">
        <w:rPr>
          <w:rFonts w:cs="Batang"/>
          <w:sz w:val="22"/>
          <w:szCs w:val="22"/>
          <w:lang w:eastAsia="en-US"/>
        </w:rPr>
        <w:t>[7]</w:t>
      </w:r>
      <w:r w:rsidR="00056CD3">
        <w:rPr>
          <w:rFonts w:cs="Batang"/>
          <w:sz w:val="22"/>
          <w:szCs w:val="22"/>
          <w:lang w:eastAsia="en-US"/>
        </w:rPr>
        <w:fldChar w:fldCharType="end"/>
      </w:r>
      <w:r w:rsidR="00056CD3">
        <w:rPr>
          <w:rFonts w:cs="Batang"/>
          <w:sz w:val="22"/>
          <w:szCs w:val="22"/>
          <w:lang w:eastAsia="en-US"/>
        </w:rPr>
        <w:t xml:space="preserve">. </w:t>
      </w:r>
    </w:p>
    <w:p w14:paraId="0E632214" w14:textId="77777777" w:rsidR="00056CD3" w:rsidRDefault="00056CD3" w:rsidP="00F90A07">
      <w:pPr>
        <w:jc w:val="both"/>
        <w:rPr>
          <w:rFonts w:cs="Batang"/>
          <w:sz w:val="22"/>
          <w:szCs w:val="22"/>
          <w:lang w:eastAsia="en-US"/>
        </w:rPr>
      </w:pPr>
    </w:p>
    <w:p w14:paraId="3C17AEA4" w14:textId="01247899" w:rsidR="00007C75" w:rsidRDefault="00056CD3" w:rsidP="00F90A07">
      <w:pPr>
        <w:jc w:val="both"/>
        <w:rPr>
          <w:rFonts w:cs="Batang"/>
          <w:sz w:val="22"/>
          <w:szCs w:val="22"/>
          <w:lang w:eastAsia="en-US"/>
        </w:rPr>
      </w:pPr>
      <w:r>
        <w:rPr>
          <w:rFonts w:cs="Batang"/>
          <w:sz w:val="22"/>
          <w:szCs w:val="22"/>
          <w:lang w:eastAsia="en-US"/>
        </w:rPr>
        <w:t xml:space="preserve">However, with the advent of </w:t>
      </w:r>
      <w:r w:rsidR="0001724A">
        <w:rPr>
          <w:rFonts w:cs="Batang"/>
          <w:sz w:val="22"/>
          <w:szCs w:val="22"/>
          <w:lang w:eastAsia="en-US"/>
        </w:rPr>
        <w:t xml:space="preserve">sub-bands </w:t>
      </w:r>
      <w:r>
        <w:rPr>
          <w:rFonts w:cs="Batang"/>
          <w:sz w:val="22"/>
          <w:szCs w:val="22"/>
          <w:lang w:eastAsia="en-US"/>
        </w:rPr>
        <w:t>c2 and c3 in Europe, e</w:t>
      </w:r>
      <w:r w:rsidR="00007C75">
        <w:rPr>
          <w:rFonts w:cs="Batang"/>
          <w:sz w:val="22"/>
          <w:szCs w:val="22"/>
          <w:lang w:eastAsia="en-US"/>
        </w:rPr>
        <w:t xml:space="preserve">ven the most restrictive jurisdiction has scenarios in which LBT is not mandated. As such, channel access for NR operation between 52.6 GHz and 71 GHz should include both LBT based and non-LBT based methods. </w:t>
      </w:r>
    </w:p>
    <w:p w14:paraId="05E218DD" w14:textId="4DE09BAB" w:rsidR="00007C75" w:rsidRDefault="00007C75" w:rsidP="00F90A07">
      <w:pPr>
        <w:jc w:val="both"/>
        <w:rPr>
          <w:rFonts w:cs="Batang"/>
          <w:sz w:val="22"/>
          <w:szCs w:val="22"/>
          <w:lang w:eastAsia="en-US"/>
        </w:rPr>
      </w:pPr>
    </w:p>
    <w:p w14:paraId="6E5F2468" w14:textId="77777777" w:rsidR="0080600C" w:rsidRPr="00DB340F" w:rsidRDefault="0080600C" w:rsidP="0080600C">
      <w:pPr>
        <w:jc w:val="both"/>
        <w:rPr>
          <w:rFonts w:cs="Batang"/>
          <w:sz w:val="22"/>
          <w:szCs w:val="22"/>
          <w:lang w:val="en-GB" w:eastAsia="en-US"/>
        </w:rPr>
      </w:pPr>
      <w:r w:rsidRPr="00DB340F">
        <w:rPr>
          <w:rFonts w:cs="Batang"/>
          <w:sz w:val="22"/>
          <w:szCs w:val="22"/>
          <w:lang w:val="en-GB" w:eastAsia="en-US"/>
        </w:rPr>
        <w:t xml:space="preserve">In the case that both LBT and non-LBT channel access methods are </w:t>
      </w:r>
      <w:r w:rsidRPr="006B5C14">
        <w:rPr>
          <w:rFonts w:cs="Batang"/>
          <w:sz w:val="22"/>
          <w:szCs w:val="22"/>
          <w:lang w:val="en-GB" w:eastAsia="en-US"/>
        </w:rPr>
        <w:t>adopted</w:t>
      </w:r>
      <w:r>
        <w:rPr>
          <w:rFonts w:cs="Batang"/>
          <w:sz w:val="22"/>
          <w:szCs w:val="22"/>
          <w:lang w:val="en-GB" w:eastAsia="en-US"/>
        </w:rPr>
        <w:t xml:space="preserve">, </w:t>
      </w:r>
      <w:r w:rsidRPr="00DB340F">
        <w:rPr>
          <w:rFonts w:cs="Batang"/>
          <w:sz w:val="22"/>
          <w:szCs w:val="22"/>
          <w:lang w:val="en-GB" w:eastAsia="en-US"/>
        </w:rPr>
        <w:t xml:space="preserve"> it becomes necessary for the UE to know when to use LBT and when not to do so. The channel access type may be semi-statically configure</w:t>
      </w:r>
      <w:r>
        <w:rPr>
          <w:rFonts w:cs="Batang"/>
          <w:sz w:val="22"/>
          <w:szCs w:val="22"/>
          <w:lang w:val="en-GB" w:eastAsia="en-US"/>
        </w:rPr>
        <w:t>d</w:t>
      </w:r>
      <w:r w:rsidRPr="00DB340F">
        <w:rPr>
          <w:rFonts w:cs="Batang"/>
          <w:sz w:val="22"/>
          <w:szCs w:val="22"/>
          <w:lang w:val="en-GB" w:eastAsia="en-US"/>
        </w:rPr>
        <w:t xml:space="preserve"> by the gNB, in some cases  with assistance from the UE. Alternatively, the UE may be able to make </w:t>
      </w:r>
      <w:r w:rsidRPr="006B5C14">
        <w:rPr>
          <w:rFonts w:cs="Batang"/>
          <w:sz w:val="22"/>
          <w:szCs w:val="22"/>
          <w:lang w:val="en-GB" w:eastAsia="en-US"/>
        </w:rPr>
        <w:t>long-term</w:t>
      </w:r>
      <w:r w:rsidRPr="00DB340F">
        <w:rPr>
          <w:rFonts w:cs="Batang"/>
          <w:sz w:val="22"/>
          <w:szCs w:val="22"/>
          <w:lang w:val="en-GB" w:eastAsia="en-US"/>
        </w:rPr>
        <w:t xml:space="preserve"> measurement</w:t>
      </w:r>
      <w:r>
        <w:rPr>
          <w:rFonts w:cs="Batang"/>
          <w:sz w:val="22"/>
          <w:szCs w:val="22"/>
          <w:lang w:val="en-GB" w:eastAsia="en-US"/>
        </w:rPr>
        <w:t>s</w:t>
      </w:r>
      <w:r w:rsidRPr="00DB340F">
        <w:rPr>
          <w:rFonts w:cs="Batang"/>
          <w:sz w:val="22"/>
          <w:szCs w:val="22"/>
          <w:lang w:val="en-GB" w:eastAsia="en-US"/>
        </w:rPr>
        <w:t xml:space="preserve"> and autonomously switch between LBT access and non-LBT access. This may require the definition of measurement signal</w:t>
      </w:r>
      <w:r>
        <w:rPr>
          <w:rFonts w:cs="Batang"/>
          <w:sz w:val="22"/>
          <w:szCs w:val="22"/>
          <w:lang w:val="en-GB" w:eastAsia="en-US"/>
        </w:rPr>
        <w:t xml:space="preserve">s , </w:t>
      </w:r>
      <w:r w:rsidRPr="00DB340F">
        <w:rPr>
          <w:rFonts w:cs="Batang"/>
          <w:sz w:val="22"/>
          <w:szCs w:val="22"/>
          <w:lang w:val="en-GB" w:eastAsia="en-US"/>
        </w:rPr>
        <w:t xml:space="preserve">common metrics </w:t>
      </w:r>
      <w:r>
        <w:rPr>
          <w:rFonts w:cs="Batang"/>
          <w:sz w:val="22"/>
          <w:szCs w:val="22"/>
          <w:lang w:val="en-GB" w:eastAsia="en-US"/>
        </w:rPr>
        <w:t xml:space="preserve"> and a UE procedure for the multiple access method used by the UE. </w:t>
      </w:r>
      <w:r w:rsidRPr="00DB340F">
        <w:rPr>
          <w:rFonts w:cs="Batang"/>
          <w:sz w:val="22"/>
          <w:szCs w:val="22"/>
          <w:lang w:val="en-GB" w:eastAsia="en-US"/>
        </w:rPr>
        <w:t xml:space="preserve"> </w:t>
      </w:r>
    </w:p>
    <w:p w14:paraId="168F486B" w14:textId="77777777" w:rsidR="0080600C" w:rsidRDefault="0080600C" w:rsidP="00056CD3">
      <w:pPr>
        <w:jc w:val="both"/>
        <w:rPr>
          <w:rFonts w:cs="Batang"/>
          <w:b/>
          <w:bCs/>
          <w:i/>
          <w:iCs/>
          <w:sz w:val="22"/>
          <w:szCs w:val="22"/>
          <w:lang w:val="en-GB" w:eastAsia="en-US"/>
        </w:rPr>
      </w:pPr>
    </w:p>
    <w:p w14:paraId="23095AE6" w14:textId="30B122C2" w:rsidR="00056CD3" w:rsidRDefault="00056CD3" w:rsidP="00056CD3">
      <w:pPr>
        <w:jc w:val="both"/>
        <w:rPr>
          <w:rFonts w:cs="Batang"/>
          <w:i/>
          <w:iCs/>
          <w:sz w:val="22"/>
          <w:szCs w:val="22"/>
          <w:lang w:val="en-GB" w:eastAsia="en-US"/>
        </w:rPr>
      </w:pPr>
      <w:r w:rsidRPr="008F2E02">
        <w:rPr>
          <w:rFonts w:cs="Batang"/>
          <w:b/>
          <w:bCs/>
          <w:i/>
          <w:iCs/>
          <w:sz w:val="22"/>
          <w:szCs w:val="22"/>
          <w:lang w:val="en-GB" w:eastAsia="en-US"/>
        </w:rPr>
        <w:t>Observation 1:</w:t>
      </w:r>
      <w:r>
        <w:rPr>
          <w:rFonts w:cs="Batang"/>
          <w:i/>
          <w:iCs/>
          <w:sz w:val="22"/>
          <w:szCs w:val="22"/>
          <w:lang w:val="en-GB" w:eastAsia="en-US"/>
        </w:rPr>
        <w:t xml:space="preserve"> LBT and associated protocols may not be required in some jurisdictions and in jurisdiction where they are required, they are not required in all scenarios.</w:t>
      </w:r>
    </w:p>
    <w:p w14:paraId="794339B2" w14:textId="77777777" w:rsidR="00056CD3" w:rsidRDefault="00056CD3" w:rsidP="00F90A07">
      <w:pPr>
        <w:jc w:val="both"/>
        <w:rPr>
          <w:rFonts w:cs="Batang"/>
          <w:sz w:val="22"/>
          <w:szCs w:val="22"/>
          <w:lang w:eastAsia="en-US"/>
        </w:rPr>
      </w:pPr>
    </w:p>
    <w:p w14:paraId="3CC0D09A" w14:textId="185CEC91" w:rsidR="00007C75" w:rsidRPr="00DB340F" w:rsidRDefault="0001724A" w:rsidP="00DB340F">
      <w:pPr>
        <w:jc w:val="both"/>
        <w:rPr>
          <w:rFonts w:cs="Batang"/>
          <w:i/>
          <w:iCs/>
          <w:sz w:val="22"/>
          <w:szCs w:val="22"/>
          <w:lang w:eastAsia="en-US"/>
        </w:rPr>
      </w:pPr>
      <w:r>
        <w:rPr>
          <w:rFonts w:cs="Batang"/>
          <w:b/>
          <w:bCs/>
          <w:i/>
          <w:iCs/>
          <w:sz w:val="22"/>
          <w:szCs w:val="22"/>
          <w:lang w:eastAsia="en-US"/>
        </w:rPr>
        <w:t>Proposal 1</w:t>
      </w:r>
      <w:r w:rsidR="00056CD3" w:rsidRPr="00DB340F">
        <w:rPr>
          <w:rFonts w:cs="Batang"/>
          <w:b/>
          <w:bCs/>
          <w:i/>
          <w:iCs/>
          <w:sz w:val="22"/>
          <w:szCs w:val="22"/>
          <w:lang w:eastAsia="en-US"/>
        </w:rPr>
        <w:t>:</w:t>
      </w:r>
      <w:r w:rsidR="00056CD3" w:rsidRPr="00DB340F">
        <w:rPr>
          <w:rFonts w:cs="Batang"/>
          <w:i/>
          <w:iCs/>
          <w:sz w:val="22"/>
          <w:szCs w:val="22"/>
          <w:lang w:eastAsia="en-US"/>
        </w:rPr>
        <w:t xml:space="preserve"> Both a baseline LBT and no-LBT channel access mechanisms should be adopted </w:t>
      </w:r>
      <w:r>
        <w:rPr>
          <w:rFonts w:cs="Batang"/>
          <w:i/>
          <w:iCs/>
          <w:sz w:val="22"/>
          <w:szCs w:val="22"/>
          <w:lang w:eastAsia="en-US"/>
        </w:rPr>
        <w:t>unlicensed access.</w:t>
      </w:r>
    </w:p>
    <w:p w14:paraId="41C33E5F" w14:textId="3767D915" w:rsidR="00056CD3" w:rsidRPr="00DB340F" w:rsidRDefault="00056CD3" w:rsidP="00D32078">
      <w:pPr>
        <w:jc w:val="both"/>
        <w:rPr>
          <w:rFonts w:cs="Batang"/>
          <w:sz w:val="22"/>
          <w:szCs w:val="22"/>
          <w:lang w:val="en-GB" w:eastAsia="en-US"/>
        </w:rPr>
      </w:pPr>
    </w:p>
    <w:p w14:paraId="25FFBC45" w14:textId="7894FEBB" w:rsidR="00056CD3" w:rsidRPr="00F90A07" w:rsidRDefault="006B5C14" w:rsidP="00D32078">
      <w:pPr>
        <w:jc w:val="both"/>
        <w:rPr>
          <w:rFonts w:cs="Batang"/>
          <w:i/>
          <w:iCs/>
          <w:sz w:val="22"/>
          <w:szCs w:val="22"/>
          <w:lang w:val="en-GB" w:eastAsia="en-US"/>
        </w:rPr>
      </w:pPr>
      <w:r w:rsidRPr="00DB340F">
        <w:rPr>
          <w:rFonts w:cs="Batang"/>
          <w:b/>
          <w:bCs/>
          <w:i/>
          <w:iCs/>
          <w:sz w:val="22"/>
          <w:szCs w:val="22"/>
          <w:lang w:val="en-GB" w:eastAsia="en-US"/>
        </w:rPr>
        <w:t>P</w:t>
      </w:r>
      <w:r w:rsidR="0001724A">
        <w:rPr>
          <w:rFonts w:cs="Batang"/>
          <w:b/>
          <w:bCs/>
          <w:i/>
          <w:iCs/>
          <w:sz w:val="22"/>
          <w:szCs w:val="22"/>
          <w:lang w:val="en-GB" w:eastAsia="en-US"/>
        </w:rPr>
        <w:t xml:space="preserve">roposal </w:t>
      </w:r>
      <w:r w:rsidRPr="00DB340F">
        <w:rPr>
          <w:rFonts w:cs="Batang"/>
          <w:b/>
          <w:bCs/>
          <w:i/>
          <w:iCs/>
          <w:sz w:val="22"/>
          <w:szCs w:val="22"/>
          <w:lang w:val="en-GB" w:eastAsia="en-US"/>
        </w:rPr>
        <w:t>2:</w:t>
      </w:r>
      <w:r w:rsidRPr="00F90A07">
        <w:rPr>
          <w:rFonts w:cs="Batang"/>
          <w:i/>
          <w:iCs/>
          <w:sz w:val="22"/>
          <w:szCs w:val="22"/>
          <w:lang w:val="en-GB" w:eastAsia="en-US"/>
        </w:rPr>
        <w:t xml:space="preserve"> Adaptation methods between LBT-based </w:t>
      </w:r>
      <w:r w:rsidR="0001724A">
        <w:rPr>
          <w:rFonts w:cs="Batang"/>
          <w:i/>
          <w:iCs/>
          <w:sz w:val="22"/>
          <w:szCs w:val="22"/>
          <w:lang w:val="en-GB" w:eastAsia="en-US"/>
        </w:rPr>
        <w:t>a</w:t>
      </w:r>
      <w:r w:rsidRPr="00F90A07">
        <w:rPr>
          <w:rFonts w:cs="Batang"/>
          <w:i/>
          <w:iCs/>
          <w:sz w:val="22"/>
          <w:szCs w:val="22"/>
          <w:lang w:val="en-GB" w:eastAsia="en-US"/>
        </w:rPr>
        <w:t>ccess and non-LBT based access should be studied</w:t>
      </w:r>
      <w:r w:rsidR="0001724A">
        <w:rPr>
          <w:rFonts w:cs="Batang"/>
          <w:i/>
          <w:iCs/>
          <w:sz w:val="22"/>
          <w:szCs w:val="22"/>
          <w:lang w:val="en-GB" w:eastAsia="en-US"/>
        </w:rPr>
        <w:t>.</w:t>
      </w:r>
    </w:p>
    <w:p w14:paraId="7599D612" w14:textId="77777777" w:rsidR="00056CD3" w:rsidRPr="002758D3" w:rsidRDefault="00056CD3" w:rsidP="00D32078">
      <w:pPr>
        <w:jc w:val="both"/>
        <w:rPr>
          <w:rFonts w:cs="Batang"/>
          <w:i/>
          <w:iCs/>
          <w:sz w:val="22"/>
          <w:szCs w:val="22"/>
          <w:lang w:val="en-GB" w:eastAsia="en-US"/>
        </w:rPr>
      </w:pPr>
    </w:p>
    <w:p w14:paraId="391B1151" w14:textId="3B4C7FCC" w:rsidR="00D32078" w:rsidRDefault="005C7D22" w:rsidP="00D32078">
      <w:pPr>
        <w:pStyle w:val="Heading1"/>
      </w:pPr>
      <w:r>
        <w:t>Multiple Access Schemes</w:t>
      </w:r>
    </w:p>
    <w:p w14:paraId="389B2967" w14:textId="77777777" w:rsidR="00056CD3" w:rsidRDefault="00056CD3" w:rsidP="00D32078">
      <w:pPr>
        <w:jc w:val="both"/>
        <w:rPr>
          <w:sz w:val="22"/>
          <w:szCs w:val="22"/>
        </w:rPr>
      </w:pPr>
    </w:p>
    <w:p w14:paraId="1C95BA8C" w14:textId="77777777" w:rsidR="0080600C" w:rsidRDefault="0080600C" w:rsidP="0080600C">
      <w:pPr>
        <w:pStyle w:val="Heading2"/>
      </w:pPr>
      <w:r>
        <w:t>NR-U Multiple Access</w:t>
      </w:r>
    </w:p>
    <w:p w14:paraId="58167A10" w14:textId="77777777" w:rsidR="0080600C" w:rsidRDefault="005C7D22" w:rsidP="005C7D22">
      <w:pPr>
        <w:jc w:val="both"/>
        <w:rPr>
          <w:sz w:val="22"/>
          <w:szCs w:val="22"/>
        </w:rPr>
      </w:pPr>
      <w:r w:rsidRPr="002758D3">
        <w:rPr>
          <w:sz w:val="22"/>
          <w:szCs w:val="22"/>
        </w:rPr>
        <w:t xml:space="preserve">NR-U channel access </w:t>
      </w:r>
      <w:r>
        <w:rPr>
          <w:sz w:val="22"/>
          <w:szCs w:val="22"/>
        </w:rPr>
        <w:t xml:space="preserve">in Rel-16 </w:t>
      </w:r>
      <w:r w:rsidRPr="002758D3">
        <w:rPr>
          <w:sz w:val="22"/>
          <w:szCs w:val="22"/>
        </w:rPr>
        <w:t xml:space="preserve">uses a mix of </w:t>
      </w:r>
      <w:r w:rsidR="0080600C" w:rsidRPr="002758D3">
        <w:rPr>
          <w:sz w:val="22"/>
          <w:szCs w:val="22"/>
        </w:rPr>
        <w:t>schedule</w:t>
      </w:r>
      <w:r w:rsidR="0080600C">
        <w:rPr>
          <w:sz w:val="22"/>
          <w:szCs w:val="22"/>
        </w:rPr>
        <w:t>-like</w:t>
      </w:r>
      <w:r w:rsidR="0080600C" w:rsidRPr="002758D3">
        <w:rPr>
          <w:sz w:val="22"/>
          <w:szCs w:val="22"/>
        </w:rPr>
        <w:t xml:space="preserve"> access </w:t>
      </w:r>
      <w:r w:rsidR="0080600C">
        <w:rPr>
          <w:sz w:val="22"/>
          <w:szCs w:val="22"/>
        </w:rPr>
        <w:t xml:space="preserve">and </w:t>
      </w:r>
      <w:r w:rsidRPr="002758D3">
        <w:rPr>
          <w:sz w:val="22"/>
          <w:szCs w:val="22"/>
        </w:rPr>
        <w:t>contention-based access</w:t>
      </w:r>
      <w:r w:rsidR="0080600C">
        <w:rPr>
          <w:sz w:val="22"/>
          <w:szCs w:val="22"/>
        </w:rPr>
        <w:t xml:space="preserve">. In schedule-like access, </w:t>
      </w:r>
      <w:r w:rsidR="0080600C" w:rsidRPr="002758D3">
        <w:rPr>
          <w:sz w:val="22"/>
          <w:szCs w:val="22"/>
        </w:rPr>
        <w:t>the gNB schedules each UE to access the channel (similar to licensed access)</w:t>
      </w:r>
      <w:r w:rsidR="0080600C">
        <w:rPr>
          <w:sz w:val="22"/>
          <w:szCs w:val="22"/>
        </w:rPr>
        <w:t xml:space="preserve"> once it acquires the channel. In contention-based access, </w:t>
      </w:r>
      <w:r w:rsidRPr="002758D3">
        <w:rPr>
          <w:sz w:val="22"/>
          <w:szCs w:val="22"/>
        </w:rPr>
        <w:t>both</w:t>
      </w:r>
      <w:r w:rsidR="0080600C">
        <w:rPr>
          <w:sz w:val="22"/>
          <w:szCs w:val="22"/>
        </w:rPr>
        <w:t xml:space="preserve"> the</w:t>
      </w:r>
      <w:r w:rsidRPr="002758D3">
        <w:rPr>
          <w:sz w:val="22"/>
          <w:szCs w:val="22"/>
        </w:rPr>
        <w:t xml:space="preserve"> UE and </w:t>
      </w:r>
      <w:r w:rsidR="0080600C">
        <w:rPr>
          <w:sz w:val="22"/>
          <w:szCs w:val="22"/>
        </w:rPr>
        <w:t xml:space="preserve">the </w:t>
      </w:r>
      <w:r w:rsidRPr="002758D3">
        <w:rPr>
          <w:sz w:val="22"/>
          <w:szCs w:val="22"/>
        </w:rPr>
        <w:t>gNB contend for the channel</w:t>
      </w:r>
      <w:r w:rsidR="0080600C">
        <w:rPr>
          <w:sz w:val="22"/>
          <w:szCs w:val="22"/>
        </w:rPr>
        <w:t>.</w:t>
      </w:r>
      <w:r w:rsidRPr="002758D3">
        <w:rPr>
          <w:sz w:val="22"/>
          <w:szCs w:val="22"/>
        </w:rPr>
        <w:t xml:space="preserve"> </w:t>
      </w:r>
    </w:p>
    <w:p w14:paraId="7DDAE1A4" w14:textId="77777777" w:rsidR="0080600C" w:rsidRDefault="0080600C" w:rsidP="005C7D22">
      <w:pPr>
        <w:jc w:val="both"/>
        <w:rPr>
          <w:sz w:val="22"/>
          <w:szCs w:val="22"/>
        </w:rPr>
      </w:pPr>
    </w:p>
    <w:p w14:paraId="1125C837" w14:textId="77777777" w:rsidR="00652435" w:rsidRDefault="005C7D22" w:rsidP="005C7D22">
      <w:pPr>
        <w:jc w:val="both"/>
        <w:rPr>
          <w:sz w:val="22"/>
          <w:szCs w:val="22"/>
        </w:rPr>
      </w:pPr>
      <w:r>
        <w:rPr>
          <w:sz w:val="22"/>
          <w:szCs w:val="22"/>
        </w:rPr>
        <w:t>T</w:t>
      </w:r>
      <w:r w:rsidRPr="002758D3">
        <w:rPr>
          <w:sz w:val="22"/>
          <w:szCs w:val="22"/>
        </w:rPr>
        <w:t xml:space="preserve">he gNB contends for the channel and acquires the channel for a Channel Occupancy Time (COT) duration. </w:t>
      </w:r>
      <w:r>
        <w:rPr>
          <w:sz w:val="22"/>
          <w:szCs w:val="22"/>
        </w:rPr>
        <w:t xml:space="preserve">For DL data, the gNB goes through a CAT-4 LBT procedure ( i.e. LBT with random </w:t>
      </w:r>
      <w:r w:rsidR="00570639">
        <w:rPr>
          <w:sz w:val="22"/>
          <w:szCs w:val="22"/>
        </w:rPr>
        <w:t>back off</w:t>
      </w:r>
      <w:r>
        <w:rPr>
          <w:sz w:val="22"/>
          <w:szCs w:val="22"/>
        </w:rPr>
        <w:t xml:space="preserve"> and a variable sized contention window) with the channel access priority class selected according to the multiplexed data. </w:t>
      </w:r>
      <w:r w:rsidRPr="002758D3">
        <w:rPr>
          <w:sz w:val="22"/>
          <w:szCs w:val="22"/>
        </w:rPr>
        <w:t xml:space="preserve">Within the </w:t>
      </w:r>
      <w:r>
        <w:rPr>
          <w:sz w:val="22"/>
          <w:szCs w:val="22"/>
        </w:rPr>
        <w:t xml:space="preserve">gNB-initiated </w:t>
      </w:r>
      <w:r w:rsidRPr="002758D3">
        <w:rPr>
          <w:sz w:val="22"/>
          <w:szCs w:val="22"/>
        </w:rPr>
        <w:t xml:space="preserve">COT, the gNB may </w:t>
      </w:r>
      <w:r>
        <w:rPr>
          <w:sz w:val="22"/>
          <w:szCs w:val="22"/>
        </w:rPr>
        <w:t xml:space="preserve">not need to perform LBT (CAT-1 LBT) or may perform a limited CAT-2 LBT (LBT without random back-off) depending on the duration between the start of the DL transmission and the last uplink burst within the COT. </w:t>
      </w:r>
    </w:p>
    <w:p w14:paraId="20F18DC1" w14:textId="77777777" w:rsidR="00652435" w:rsidRDefault="00652435" w:rsidP="005C7D22">
      <w:pPr>
        <w:jc w:val="both"/>
        <w:rPr>
          <w:sz w:val="22"/>
          <w:szCs w:val="22"/>
        </w:rPr>
      </w:pPr>
    </w:p>
    <w:p w14:paraId="202FBDCF" w14:textId="4767A896" w:rsidR="0080600C" w:rsidRDefault="00652435" w:rsidP="005C7D22">
      <w:pPr>
        <w:jc w:val="both"/>
        <w:rPr>
          <w:sz w:val="22"/>
          <w:szCs w:val="22"/>
        </w:rPr>
      </w:pPr>
      <w:r>
        <w:rPr>
          <w:sz w:val="22"/>
          <w:szCs w:val="22"/>
        </w:rPr>
        <w:t xml:space="preserve">The UE contends for the channel in a UE-initiated COT, and it goes through a more elaborate CAT-4 LBT procedure. </w:t>
      </w:r>
      <w:r w:rsidR="005C7D22">
        <w:rPr>
          <w:sz w:val="22"/>
          <w:szCs w:val="22"/>
        </w:rPr>
        <w:t>For UL data transmission if the UE is in a gNB-initiated COT</w:t>
      </w:r>
      <w:r>
        <w:rPr>
          <w:sz w:val="22"/>
          <w:szCs w:val="22"/>
        </w:rPr>
        <w:t xml:space="preserve">, and </w:t>
      </w:r>
      <w:r w:rsidR="005C7D22">
        <w:rPr>
          <w:sz w:val="22"/>
          <w:szCs w:val="22"/>
        </w:rPr>
        <w:t xml:space="preserve">the gap between the DL gNB transmission and the UL UE transmission is not more than 16 </w:t>
      </w:r>
      <w:proofErr w:type="spellStart"/>
      <w:r w:rsidR="0080600C">
        <w:rPr>
          <w:sz w:val="22"/>
          <w:szCs w:val="22"/>
        </w:rPr>
        <w:t>u</w:t>
      </w:r>
      <w:r w:rsidR="005C7D22">
        <w:rPr>
          <w:sz w:val="22"/>
          <w:szCs w:val="22"/>
        </w:rPr>
        <w:t>sec</w:t>
      </w:r>
      <w:proofErr w:type="spellEnd"/>
      <w:r w:rsidR="005C7D22">
        <w:rPr>
          <w:sz w:val="22"/>
          <w:szCs w:val="22"/>
        </w:rPr>
        <w:t>, the UE may not need to perform an LBT</w:t>
      </w:r>
      <w:r w:rsidR="0080600C">
        <w:rPr>
          <w:sz w:val="22"/>
          <w:szCs w:val="22"/>
        </w:rPr>
        <w:t xml:space="preserve"> </w:t>
      </w:r>
      <w:r>
        <w:rPr>
          <w:sz w:val="22"/>
          <w:szCs w:val="22"/>
        </w:rPr>
        <w:t>(</w:t>
      </w:r>
      <w:r w:rsidR="0080600C">
        <w:rPr>
          <w:sz w:val="22"/>
          <w:szCs w:val="22"/>
        </w:rPr>
        <w:t>CAT</w:t>
      </w:r>
      <w:r>
        <w:rPr>
          <w:sz w:val="22"/>
          <w:szCs w:val="22"/>
        </w:rPr>
        <w:t>-1 LBT),</w:t>
      </w:r>
      <w:r w:rsidR="005C7D22">
        <w:rPr>
          <w:sz w:val="22"/>
          <w:szCs w:val="22"/>
        </w:rPr>
        <w:t xml:space="preserve"> essentially behaving as licensed traffic. It may perform CAT-2 LBT if the gap exceeds certain thresholds. </w:t>
      </w:r>
    </w:p>
    <w:p w14:paraId="021190D9" w14:textId="77777777" w:rsidR="0080600C" w:rsidRDefault="0080600C" w:rsidP="005C7D22">
      <w:pPr>
        <w:jc w:val="both"/>
        <w:rPr>
          <w:sz w:val="22"/>
          <w:szCs w:val="22"/>
        </w:rPr>
      </w:pPr>
    </w:p>
    <w:p w14:paraId="55B7D601" w14:textId="75650CB3" w:rsidR="005C7D22" w:rsidRDefault="005C7D22" w:rsidP="005C7D22">
      <w:pPr>
        <w:jc w:val="both"/>
        <w:rPr>
          <w:sz w:val="22"/>
          <w:szCs w:val="22"/>
        </w:rPr>
      </w:pPr>
      <w:r>
        <w:rPr>
          <w:sz w:val="22"/>
          <w:szCs w:val="22"/>
        </w:rPr>
        <w:t xml:space="preserve">Thus, we see that NR-U may perform LBT channel access or emulate licensed channel access depending on if the transmission is within a COT and </w:t>
      </w:r>
      <w:r w:rsidR="00652435">
        <w:rPr>
          <w:sz w:val="22"/>
          <w:szCs w:val="22"/>
        </w:rPr>
        <w:t xml:space="preserve">on </w:t>
      </w:r>
      <w:r>
        <w:rPr>
          <w:sz w:val="22"/>
          <w:szCs w:val="22"/>
        </w:rPr>
        <w:t xml:space="preserve">the interval between the transmissions. </w:t>
      </w:r>
    </w:p>
    <w:p w14:paraId="0899B91C" w14:textId="77777777" w:rsidR="005C7D22" w:rsidRDefault="005C7D22" w:rsidP="005C7D22">
      <w:pPr>
        <w:jc w:val="both"/>
        <w:rPr>
          <w:sz w:val="22"/>
          <w:szCs w:val="22"/>
        </w:rPr>
      </w:pPr>
    </w:p>
    <w:p w14:paraId="0C5F2B5C" w14:textId="40A515FB" w:rsidR="005C7D22" w:rsidRPr="002758D3" w:rsidRDefault="005C7D22" w:rsidP="005C7D22">
      <w:pPr>
        <w:jc w:val="both"/>
        <w:rPr>
          <w:sz w:val="22"/>
          <w:szCs w:val="22"/>
        </w:rPr>
      </w:pPr>
      <w:r w:rsidRPr="002758D3">
        <w:rPr>
          <w:sz w:val="22"/>
          <w:szCs w:val="22"/>
        </w:rPr>
        <w:t>Th</w:t>
      </w:r>
      <w:r>
        <w:rPr>
          <w:sz w:val="22"/>
          <w:szCs w:val="22"/>
        </w:rPr>
        <w:t>e LBT procedures defined</w:t>
      </w:r>
      <w:r w:rsidRPr="002758D3">
        <w:rPr>
          <w:sz w:val="22"/>
          <w:szCs w:val="22"/>
        </w:rPr>
        <w:t xml:space="preserve"> allow NR-U to coexist with other Radio Access Technologies and with other NR-U deployments in the unlicensed band below 52.6 GHz as a “friendly neighbor”, e.g. it should not impact other deployed Wi-Fi services more than an additional Wi-Fi network on the same carrier. LBT is </w:t>
      </w:r>
      <w:r w:rsidRPr="002758D3">
        <w:rPr>
          <w:sz w:val="22"/>
          <w:szCs w:val="22"/>
        </w:rPr>
        <w:lastRenderedPageBreak/>
        <w:t xml:space="preserve">an effective coexistence mechanism that, together with appropriate back-off configuration, allows different devices and RATs to share the usage of the spectrum in TDM fashion.  </w:t>
      </w:r>
    </w:p>
    <w:p w14:paraId="725D44D3" w14:textId="184907D7" w:rsidR="005C7D22" w:rsidRDefault="005C7D22" w:rsidP="00DB340F">
      <w:pPr>
        <w:pStyle w:val="0Maintext"/>
        <w:spacing w:line="240" w:lineRule="auto"/>
        <w:ind w:firstLine="0"/>
        <w:rPr>
          <w:sz w:val="22"/>
          <w:szCs w:val="22"/>
        </w:rPr>
      </w:pPr>
    </w:p>
    <w:p w14:paraId="44BE8BC9" w14:textId="3235C3AB" w:rsidR="00652435" w:rsidRDefault="00652435" w:rsidP="00652435">
      <w:pPr>
        <w:pStyle w:val="Heading2"/>
      </w:pPr>
      <w:r>
        <w:t>Unlicensed Channel Access between 52.6 GHz and 71 GHz</w:t>
      </w:r>
    </w:p>
    <w:p w14:paraId="1B8B9E8D" w14:textId="1489F429" w:rsidR="00056CD3" w:rsidRDefault="006B5C14" w:rsidP="00DB340F">
      <w:pPr>
        <w:pStyle w:val="0Maintext"/>
        <w:spacing w:line="240" w:lineRule="auto"/>
        <w:ind w:firstLine="0"/>
        <w:rPr>
          <w:sz w:val="22"/>
          <w:szCs w:val="22"/>
        </w:rPr>
      </w:pPr>
      <w:r w:rsidRPr="00DB340F">
        <w:rPr>
          <w:sz w:val="22"/>
          <w:szCs w:val="22"/>
        </w:rPr>
        <w:t>In NR transmission between 52.6 GHz and 71 GHz, l</w:t>
      </w:r>
      <w:r w:rsidR="00056CD3" w:rsidRPr="00DB340F">
        <w:rPr>
          <w:sz w:val="22"/>
          <w:szCs w:val="22"/>
        </w:rPr>
        <w:t>arger propagation loss and penetration losses</w:t>
      </w:r>
      <w:r w:rsidRPr="00DB340F">
        <w:rPr>
          <w:sz w:val="22"/>
          <w:szCs w:val="22"/>
        </w:rPr>
        <w:t xml:space="preserve"> are expected.</w:t>
      </w:r>
      <w:r w:rsidR="00056CD3" w:rsidRPr="00E76928">
        <w:rPr>
          <w:sz w:val="22"/>
          <w:szCs w:val="22"/>
        </w:rPr>
        <w:t xml:space="preserve"> </w:t>
      </w:r>
      <w:r w:rsidR="00056CD3">
        <w:rPr>
          <w:sz w:val="22"/>
          <w:szCs w:val="22"/>
        </w:rPr>
        <w:t xml:space="preserve">Propagation loss and penetration losses increase with increasing frequency </w:t>
      </w:r>
      <w:r w:rsidR="00056CD3">
        <w:rPr>
          <w:sz w:val="22"/>
          <w:szCs w:val="22"/>
        </w:rPr>
        <w:fldChar w:fldCharType="begin"/>
      </w:r>
      <w:r w:rsidR="00056CD3">
        <w:rPr>
          <w:sz w:val="22"/>
          <w:szCs w:val="22"/>
        </w:rPr>
        <w:instrText xml:space="preserve"> REF _Ref40195455 \r \h </w:instrText>
      </w:r>
      <w:r w:rsidR="00056CD3">
        <w:rPr>
          <w:sz w:val="22"/>
          <w:szCs w:val="22"/>
        </w:rPr>
      </w:r>
      <w:r w:rsidR="00056CD3">
        <w:rPr>
          <w:sz w:val="22"/>
          <w:szCs w:val="22"/>
        </w:rPr>
        <w:fldChar w:fldCharType="separate"/>
      </w:r>
      <w:r w:rsidR="00034C09">
        <w:rPr>
          <w:sz w:val="22"/>
          <w:szCs w:val="22"/>
        </w:rPr>
        <w:t>[1]</w:t>
      </w:r>
      <w:r w:rsidR="00056CD3">
        <w:rPr>
          <w:sz w:val="22"/>
          <w:szCs w:val="22"/>
        </w:rPr>
        <w:fldChar w:fldCharType="end"/>
      </w:r>
      <w:r w:rsidR="00056CD3">
        <w:rPr>
          <w:sz w:val="22"/>
          <w:szCs w:val="22"/>
        </w:rPr>
        <w:t xml:space="preserve">. </w:t>
      </w:r>
      <w:r w:rsidR="00056CD3" w:rsidRPr="00AB371D">
        <w:rPr>
          <w:sz w:val="22"/>
          <w:szCs w:val="22"/>
        </w:rPr>
        <w:t xml:space="preserve">These </w:t>
      </w:r>
      <w:r w:rsidR="00056CD3">
        <w:rPr>
          <w:sz w:val="22"/>
          <w:szCs w:val="22"/>
        </w:rPr>
        <w:t xml:space="preserve">losses </w:t>
      </w:r>
      <w:r w:rsidR="00056CD3" w:rsidRPr="00AB371D">
        <w:rPr>
          <w:sz w:val="22"/>
          <w:szCs w:val="22"/>
        </w:rPr>
        <w:t xml:space="preserve">are mitigated by  analog or digital beam forming. The small wavelengths at these frequencies facilitate the use of antennas with a large number of elements and result in a large number of beams with small beam widths. </w:t>
      </w:r>
      <w:r w:rsidR="00056CD3" w:rsidRPr="00E76928">
        <w:rPr>
          <w:sz w:val="22"/>
          <w:szCs w:val="22"/>
        </w:rPr>
        <w:t xml:space="preserve">This may require enhanced </w:t>
      </w:r>
      <w:r w:rsidR="00056CD3">
        <w:rPr>
          <w:sz w:val="22"/>
          <w:szCs w:val="22"/>
        </w:rPr>
        <w:t xml:space="preserve">channel access procedures due to the directionality of the interference and the fact that the interference at the receiver may not be inferred from the transmitter. </w:t>
      </w:r>
      <w:r w:rsidR="00056CD3" w:rsidRPr="00E76928">
        <w:rPr>
          <w:sz w:val="22"/>
          <w:szCs w:val="22"/>
        </w:rPr>
        <w:t xml:space="preserve"> </w:t>
      </w:r>
    </w:p>
    <w:p w14:paraId="564E457D" w14:textId="426F7A92" w:rsidR="00056CD3" w:rsidRPr="006764AB" w:rsidRDefault="005C7D22" w:rsidP="00DB340F">
      <w:pPr>
        <w:pStyle w:val="0Maintext"/>
        <w:spacing w:line="240" w:lineRule="auto"/>
        <w:ind w:firstLine="0"/>
        <w:rPr>
          <w:rFonts w:eastAsia="Batang"/>
          <w:iCs/>
          <w:color w:val="000000"/>
          <w:kern w:val="2"/>
          <w:sz w:val="22"/>
          <w:szCs w:val="22"/>
        </w:rPr>
      </w:pPr>
      <w:r>
        <w:rPr>
          <w:sz w:val="22"/>
          <w:szCs w:val="22"/>
        </w:rPr>
        <w:t>In addition,</w:t>
      </w:r>
      <w:r w:rsidR="00C27AE7">
        <w:rPr>
          <w:b/>
          <w:bCs/>
          <w:sz w:val="22"/>
          <w:szCs w:val="22"/>
        </w:rPr>
        <w:t xml:space="preserve"> t</w:t>
      </w:r>
      <w:r w:rsidR="00056CD3" w:rsidRPr="00AB371D">
        <w:rPr>
          <w:sz w:val="22"/>
          <w:szCs w:val="22"/>
        </w:rPr>
        <w:t xml:space="preserve">he large amount of spectrum available at these frequencies results in large channel allocation bandwidths of 2.16 GHz for existing </w:t>
      </w:r>
      <w:r w:rsidR="00056CD3">
        <w:rPr>
          <w:sz w:val="22"/>
          <w:szCs w:val="22"/>
        </w:rPr>
        <w:t>Radio Access Technologies (RATs)</w:t>
      </w:r>
      <w:r w:rsidR="00056CD3" w:rsidRPr="00AB371D">
        <w:rPr>
          <w:sz w:val="22"/>
          <w:szCs w:val="22"/>
        </w:rPr>
        <w:t xml:space="preserve"> in the unlicensed bands in these frequencies</w:t>
      </w:r>
      <w:r w:rsidR="00056CD3">
        <w:rPr>
          <w:sz w:val="22"/>
          <w:szCs w:val="22"/>
        </w:rPr>
        <w:t>. These RATs</w:t>
      </w:r>
      <w:r w:rsidR="00056CD3" w:rsidRPr="00AB371D">
        <w:rPr>
          <w:sz w:val="22"/>
          <w:szCs w:val="22"/>
        </w:rPr>
        <w:t xml:space="preserve">  includ</w:t>
      </w:r>
      <w:r w:rsidR="00056CD3">
        <w:rPr>
          <w:sz w:val="22"/>
          <w:szCs w:val="22"/>
        </w:rPr>
        <w:t>e</w:t>
      </w:r>
      <w:r w:rsidR="00056CD3" w:rsidRPr="00AB371D">
        <w:rPr>
          <w:sz w:val="22"/>
          <w:szCs w:val="22"/>
        </w:rPr>
        <w:t xml:space="preserve"> IEEE 802.15.3c, WirelessHD, IEEE 802.11ad and IEEE 802.11ay. Utilizing the available spectrum and enabling coexistence with existing RATs may require an increase in the bandwidths supported to larger than  </w:t>
      </w:r>
      <w:r w:rsidR="00056CD3">
        <w:rPr>
          <w:sz w:val="22"/>
          <w:szCs w:val="22"/>
        </w:rPr>
        <w:t xml:space="preserve">the </w:t>
      </w:r>
      <w:r w:rsidR="00056CD3" w:rsidRPr="00AB371D">
        <w:rPr>
          <w:sz w:val="22"/>
          <w:szCs w:val="22"/>
        </w:rPr>
        <w:t xml:space="preserve">400 MHz </w:t>
      </w:r>
      <w:r w:rsidR="00056CD3">
        <w:rPr>
          <w:sz w:val="22"/>
          <w:szCs w:val="22"/>
        </w:rPr>
        <w:t xml:space="preserve">for data transmission </w:t>
      </w:r>
      <w:r w:rsidR="00056CD3" w:rsidRPr="00AB371D">
        <w:rPr>
          <w:sz w:val="22"/>
          <w:szCs w:val="22"/>
        </w:rPr>
        <w:t>currently supported by NR Rel-15/Rel-16</w:t>
      </w:r>
      <w:r w:rsidR="00056CD3">
        <w:rPr>
          <w:sz w:val="22"/>
          <w:szCs w:val="22"/>
        </w:rPr>
        <w:t xml:space="preserve"> in FR2 </w:t>
      </w:r>
      <w:r w:rsidR="00056CD3">
        <w:rPr>
          <w:sz w:val="22"/>
          <w:szCs w:val="22"/>
        </w:rPr>
        <w:fldChar w:fldCharType="begin"/>
      </w:r>
      <w:r w:rsidR="00056CD3">
        <w:rPr>
          <w:sz w:val="22"/>
          <w:szCs w:val="22"/>
        </w:rPr>
        <w:instrText xml:space="preserve"> REF _Ref40443455 \r \h </w:instrText>
      </w:r>
      <w:r w:rsidR="00056CD3">
        <w:rPr>
          <w:sz w:val="22"/>
          <w:szCs w:val="22"/>
        </w:rPr>
      </w:r>
      <w:r w:rsidR="00056CD3">
        <w:rPr>
          <w:sz w:val="22"/>
          <w:szCs w:val="22"/>
        </w:rPr>
        <w:fldChar w:fldCharType="separate"/>
      </w:r>
      <w:r w:rsidR="00034C09">
        <w:rPr>
          <w:sz w:val="22"/>
          <w:szCs w:val="22"/>
        </w:rPr>
        <w:t>[9]</w:t>
      </w:r>
      <w:r w:rsidR="00056CD3">
        <w:rPr>
          <w:sz w:val="22"/>
          <w:szCs w:val="22"/>
        </w:rPr>
        <w:fldChar w:fldCharType="end"/>
      </w:r>
      <w:r w:rsidR="00056CD3" w:rsidRPr="00EF1E3D">
        <w:rPr>
          <w:sz w:val="22"/>
          <w:szCs w:val="22"/>
        </w:rPr>
        <w:t xml:space="preserve">. The LBT mechanisms used may have to be modified </w:t>
      </w:r>
      <w:r w:rsidR="00056CD3">
        <w:rPr>
          <w:sz w:val="22"/>
          <w:szCs w:val="22"/>
        </w:rPr>
        <w:t xml:space="preserve">when compared with NR-U and below 52.6 GHz unlicensed transmission (e.g. NR-U, LAA) </w:t>
      </w:r>
      <w:r w:rsidR="00056CD3" w:rsidRPr="00EF1E3D">
        <w:rPr>
          <w:sz w:val="22"/>
          <w:szCs w:val="22"/>
        </w:rPr>
        <w:t>to account for the increase in bandwidths</w:t>
      </w:r>
      <w:r w:rsidR="00056CD3">
        <w:rPr>
          <w:sz w:val="22"/>
          <w:szCs w:val="22"/>
        </w:rPr>
        <w:t xml:space="preserve"> and the decrease in symbol durations due to increases in subcarrier spacing e.g. a modification in the slot access time</w:t>
      </w:r>
      <w:r w:rsidR="00056CD3" w:rsidRPr="00EF1E3D">
        <w:rPr>
          <w:sz w:val="22"/>
          <w:szCs w:val="22"/>
        </w:rPr>
        <w:t xml:space="preserve">. </w:t>
      </w:r>
      <w:r w:rsidR="00C27AE7">
        <w:rPr>
          <w:sz w:val="22"/>
          <w:szCs w:val="22"/>
        </w:rPr>
        <w:t xml:space="preserve">Note that if no-LBT channel access is used, the LBT co-existence discussion is not needed. </w:t>
      </w:r>
    </w:p>
    <w:p w14:paraId="13CCA414" w14:textId="77777777" w:rsidR="00056CD3" w:rsidRDefault="00056CD3" w:rsidP="00056CD3">
      <w:pPr>
        <w:jc w:val="both"/>
        <w:rPr>
          <w:rFonts w:cs="Batang"/>
          <w:b/>
          <w:bCs/>
          <w:i/>
          <w:iCs/>
          <w:sz w:val="22"/>
          <w:szCs w:val="22"/>
          <w:lang w:val="en-GB" w:eastAsia="en-US"/>
        </w:rPr>
      </w:pPr>
    </w:p>
    <w:p w14:paraId="2CBF5AAC" w14:textId="779A083A" w:rsidR="00056CD3" w:rsidRDefault="00056CD3" w:rsidP="00056CD3">
      <w:pPr>
        <w:jc w:val="both"/>
        <w:rPr>
          <w:rFonts w:cs="Batang"/>
          <w:i/>
          <w:iCs/>
          <w:sz w:val="22"/>
          <w:szCs w:val="22"/>
          <w:lang w:val="en-GB" w:eastAsia="en-US"/>
        </w:rPr>
      </w:pPr>
      <w:r w:rsidRPr="002758D3">
        <w:rPr>
          <w:rFonts w:cs="Batang"/>
          <w:b/>
          <w:bCs/>
          <w:i/>
          <w:iCs/>
          <w:sz w:val="22"/>
          <w:szCs w:val="22"/>
          <w:lang w:val="en-GB" w:eastAsia="en-US"/>
        </w:rPr>
        <w:t xml:space="preserve">Observation </w:t>
      </w:r>
      <w:r w:rsidR="0001724A">
        <w:rPr>
          <w:rFonts w:cs="Batang"/>
          <w:b/>
          <w:bCs/>
          <w:i/>
          <w:iCs/>
          <w:sz w:val="22"/>
          <w:szCs w:val="22"/>
          <w:lang w:val="en-GB" w:eastAsia="en-US"/>
        </w:rPr>
        <w:t>2</w:t>
      </w:r>
      <w:r w:rsidRPr="002758D3">
        <w:rPr>
          <w:rFonts w:cs="Batang"/>
          <w:b/>
          <w:bCs/>
          <w:i/>
          <w:iCs/>
          <w:sz w:val="22"/>
          <w:szCs w:val="22"/>
          <w:lang w:val="en-GB" w:eastAsia="en-US"/>
        </w:rPr>
        <w:t>:</w:t>
      </w:r>
      <w:r w:rsidRPr="002758D3">
        <w:rPr>
          <w:rFonts w:cs="Batang"/>
          <w:i/>
          <w:iCs/>
          <w:sz w:val="22"/>
          <w:szCs w:val="22"/>
          <w:lang w:val="en-GB" w:eastAsia="en-US"/>
        </w:rPr>
        <w:t xml:space="preserve"> The large propagation losses in the 60 GHz range mandate the need for beam-based transmission</w:t>
      </w:r>
      <w:r w:rsidR="00C27AE7">
        <w:rPr>
          <w:rFonts w:cs="Batang"/>
          <w:i/>
          <w:iCs/>
          <w:sz w:val="22"/>
          <w:szCs w:val="22"/>
          <w:lang w:val="en-GB" w:eastAsia="en-US"/>
        </w:rPr>
        <w:t xml:space="preserve"> and the</w:t>
      </w:r>
      <w:r>
        <w:rPr>
          <w:rFonts w:cs="Batang"/>
          <w:i/>
          <w:iCs/>
          <w:sz w:val="22"/>
          <w:szCs w:val="22"/>
          <w:lang w:val="en-GB" w:eastAsia="en-US"/>
        </w:rPr>
        <w:t xml:space="preserve"> need for LBT schemes</w:t>
      </w:r>
      <w:r w:rsidR="00652435">
        <w:rPr>
          <w:rFonts w:cs="Batang"/>
          <w:i/>
          <w:iCs/>
          <w:sz w:val="22"/>
          <w:szCs w:val="22"/>
          <w:lang w:val="en-GB" w:eastAsia="en-US"/>
        </w:rPr>
        <w:t xml:space="preserve"> that account for these beams</w:t>
      </w:r>
      <w:r>
        <w:rPr>
          <w:rFonts w:cs="Batang"/>
          <w:i/>
          <w:iCs/>
          <w:sz w:val="22"/>
          <w:szCs w:val="22"/>
          <w:lang w:val="en-GB" w:eastAsia="en-US"/>
        </w:rPr>
        <w:t>.</w:t>
      </w:r>
    </w:p>
    <w:p w14:paraId="0FFE464E" w14:textId="77777777" w:rsidR="00C27AE7" w:rsidRDefault="00C27AE7" w:rsidP="00056CD3">
      <w:pPr>
        <w:jc w:val="both"/>
        <w:rPr>
          <w:rFonts w:cs="Batang"/>
          <w:i/>
          <w:iCs/>
          <w:sz w:val="22"/>
          <w:szCs w:val="22"/>
          <w:lang w:val="en-GB" w:eastAsia="en-US"/>
        </w:rPr>
      </w:pPr>
    </w:p>
    <w:p w14:paraId="405098CB" w14:textId="269F21AF" w:rsidR="00C27AE7" w:rsidRDefault="00C27AE7" w:rsidP="00C27AE7">
      <w:pPr>
        <w:jc w:val="both"/>
        <w:rPr>
          <w:rFonts w:cs="Batang"/>
          <w:i/>
          <w:iCs/>
          <w:sz w:val="22"/>
          <w:szCs w:val="22"/>
          <w:lang w:val="en-GB" w:eastAsia="en-US"/>
        </w:rPr>
      </w:pPr>
      <w:r w:rsidRPr="002758D3">
        <w:rPr>
          <w:rFonts w:cs="Batang"/>
          <w:b/>
          <w:bCs/>
          <w:i/>
          <w:iCs/>
          <w:sz w:val="22"/>
          <w:szCs w:val="22"/>
          <w:lang w:val="en-GB" w:eastAsia="en-US"/>
        </w:rPr>
        <w:t xml:space="preserve">Observation </w:t>
      </w:r>
      <w:r w:rsidR="0001724A">
        <w:rPr>
          <w:rFonts w:cs="Batang"/>
          <w:b/>
          <w:bCs/>
          <w:i/>
          <w:iCs/>
          <w:sz w:val="22"/>
          <w:szCs w:val="22"/>
          <w:lang w:val="en-GB" w:eastAsia="en-US"/>
        </w:rPr>
        <w:t>3</w:t>
      </w:r>
      <w:r w:rsidRPr="002758D3">
        <w:rPr>
          <w:rFonts w:cs="Batang"/>
          <w:b/>
          <w:bCs/>
          <w:i/>
          <w:iCs/>
          <w:sz w:val="22"/>
          <w:szCs w:val="22"/>
          <w:lang w:val="en-GB" w:eastAsia="en-US"/>
        </w:rPr>
        <w:t>:</w:t>
      </w:r>
      <w:r w:rsidRPr="002758D3">
        <w:rPr>
          <w:rFonts w:cs="Batang"/>
          <w:i/>
          <w:iCs/>
          <w:sz w:val="22"/>
          <w:szCs w:val="22"/>
          <w:lang w:val="en-GB" w:eastAsia="en-US"/>
        </w:rPr>
        <w:t xml:space="preserve"> The </w:t>
      </w:r>
      <w:r>
        <w:rPr>
          <w:rFonts w:cs="Batang"/>
          <w:i/>
          <w:iCs/>
          <w:sz w:val="22"/>
          <w:szCs w:val="22"/>
          <w:lang w:val="en-GB" w:eastAsia="en-US"/>
        </w:rPr>
        <w:t>possibility of an LBT measurement bandwidth that is larger than the transmission bandwidth may require a change to the basic LBT mechanism.                                   .</w:t>
      </w:r>
    </w:p>
    <w:p w14:paraId="581F3567" w14:textId="77777777" w:rsidR="00C27AE7" w:rsidRDefault="00C27AE7" w:rsidP="00056CD3">
      <w:pPr>
        <w:jc w:val="both"/>
        <w:rPr>
          <w:rFonts w:cs="Batang"/>
          <w:i/>
          <w:iCs/>
          <w:sz w:val="22"/>
          <w:szCs w:val="22"/>
          <w:lang w:val="en-GB" w:eastAsia="en-US"/>
        </w:rPr>
      </w:pPr>
    </w:p>
    <w:p w14:paraId="2CC435D9" w14:textId="68931801" w:rsidR="00056CD3" w:rsidRDefault="00652435" w:rsidP="00652435">
      <w:pPr>
        <w:pStyle w:val="Heading2"/>
      </w:pPr>
      <w:r>
        <w:t>Modified LBT Mechanisms</w:t>
      </w:r>
    </w:p>
    <w:p w14:paraId="5F36836C" w14:textId="77777777" w:rsidR="00056CD3" w:rsidRDefault="00056CD3" w:rsidP="00652435">
      <w:pPr>
        <w:pStyle w:val="Heading3"/>
      </w:pPr>
      <w:r>
        <w:t>RTS/CTS as complement to LBT</w:t>
      </w:r>
    </w:p>
    <w:p w14:paraId="0C616844" w14:textId="40C89713" w:rsidR="00D32078" w:rsidRDefault="005C7D22" w:rsidP="00D32078">
      <w:pPr>
        <w:jc w:val="both"/>
        <w:rPr>
          <w:sz w:val="22"/>
          <w:szCs w:val="22"/>
        </w:rPr>
      </w:pPr>
      <w:r>
        <w:rPr>
          <w:sz w:val="22"/>
          <w:szCs w:val="22"/>
        </w:rPr>
        <w:t>There are</w:t>
      </w:r>
      <w:r w:rsidR="00D32078" w:rsidRPr="002758D3">
        <w:rPr>
          <w:sz w:val="22"/>
          <w:szCs w:val="22"/>
        </w:rPr>
        <w:t xml:space="preserve"> certain limitations associated with LBT, specifically in the following scenarios:</w:t>
      </w:r>
    </w:p>
    <w:p w14:paraId="44EE591F" w14:textId="77777777" w:rsidR="005C7D22" w:rsidRPr="002758D3" w:rsidRDefault="005C7D22" w:rsidP="00D32078">
      <w:pPr>
        <w:jc w:val="both"/>
        <w:rPr>
          <w:sz w:val="22"/>
          <w:szCs w:val="22"/>
        </w:rPr>
      </w:pPr>
    </w:p>
    <w:p w14:paraId="54B81D80" w14:textId="4B7D6806" w:rsidR="00000AC2" w:rsidRPr="002758D3" w:rsidRDefault="00000AC2" w:rsidP="00000AC2">
      <w:pPr>
        <w:pStyle w:val="ListParagraph"/>
        <w:numPr>
          <w:ilvl w:val="0"/>
          <w:numId w:val="40"/>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 xml:space="preserve">Highly directional communication where substantial spectrum reuse can be achieved when Tx and Rx beamforming are </w:t>
      </w:r>
      <w:r w:rsidR="00C33617" w:rsidRPr="002758D3">
        <w:rPr>
          <w:rFonts w:ascii="Times New Roman" w:eastAsia="Times New Roman" w:hAnsi="Times New Roman"/>
          <w:sz w:val="22"/>
          <w:szCs w:val="22"/>
          <w:lang w:val="en-US" w:eastAsia="zh-CN"/>
        </w:rPr>
        <w:t>used,</w:t>
      </w:r>
      <w:r w:rsidR="00010082">
        <w:rPr>
          <w:rFonts w:ascii="Times New Roman" w:eastAsia="Times New Roman" w:hAnsi="Times New Roman"/>
          <w:sz w:val="22"/>
          <w:szCs w:val="22"/>
          <w:lang w:val="en-US" w:eastAsia="zh-CN"/>
        </w:rPr>
        <w:t xml:space="preserve"> or the transmitter cannot infer the interference at the receiver due to the highly directional nature of the </w:t>
      </w:r>
      <w:r w:rsidR="00AB2274">
        <w:rPr>
          <w:rFonts w:ascii="Times New Roman" w:eastAsia="Times New Roman" w:hAnsi="Times New Roman"/>
          <w:sz w:val="22"/>
          <w:szCs w:val="22"/>
          <w:lang w:val="en-US" w:eastAsia="zh-CN"/>
        </w:rPr>
        <w:t>interference.</w:t>
      </w:r>
    </w:p>
    <w:p w14:paraId="0FE9B7B9" w14:textId="418DA15C" w:rsidR="00D32078" w:rsidRPr="002758D3" w:rsidRDefault="00D32078" w:rsidP="00D32078">
      <w:pPr>
        <w:pStyle w:val="ListParagraph"/>
        <w:numPr>
          <w:ilvl w:val="0"/>
          <w:numId w:val="40"/>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Hidden nodes: where transmitter does not detect the same level of channel occupancy as the receiver</w:t>
      </w:r>
      <w:r w:rsidR="000E01F4">
        <w:rPr>
          <w:rFonts w:ascii="Times New Roman" w:eastAsia="Times New Roman" w:hAnsi="Times New Roman"/>
          <w:sz w:val="22"/>
          <w:szCs w:val="22"/>
          <w:lang w:val="en-US" w:eastAsia="zh-CN"/>
        </w:rPr>
        <w:t>.</w:t>
      </w:r>
    </w:p>
    <w:p w14:paraId="50608B93" w14:textId="77777777" w:rsidR="00000AC2" w:rsidRPr="002758D3" w:rsidRDefault="00000AC2" w:rsidP="00D32078">
      <w:pPr>
        <w:jc w:val="both"/>
        <w:rPr>
          <w:sz w:val="22"/>
          <w:szCs w:val="22"/>
        </w:rPr>
      </w:pPr>
    </w:p>
    <w:p w14:paraId="0BB8FA13" w14:textId="27269432" w:rsidR="00000AC2" w:rsidRDefault="00000AC2" w:rsidP="00000AC2">
      <w:pPr>
        <w:jc w:val="both"/>
        <w:rPr>
          <w:sz w:val="22"/>
          <w:szCs w:val="22"/>
        </w:rPr>
      </w:pPr>
      <w:r w:rsidRPr="002758D3">
        <w:rPr>
          <w:sz w:val="22"/>
          <w:szCs w:val="22"/>
        </w:rPr>
        <w:t xml:space="preserve">One scenario where LBT does not work effectively due to the fact that interference seen at transmitter is not same as that at receiver is when transmission and reception are highly directional through beam-forming. This </w:t>
      </w:r>
      <w:r w:rsidR="000E01F4">
        <w:rPr>
          <w:sz w:val="22"/>
          <w:szCs w:val="22"/>
        </w:rPr>
        <w:t xml:space="preserve">will be </w:t>
      </w:r>
      <w:r w:rsidRPr="002758D3">
        <w:rPr>
          <w:sz w:val="22"/>
          <w:szCs w:val="22"/>
        </w:rPr>
        <w:t xml:space="preserve"> the typical transmission profile in NR </w:t>
      </w:r>
      <w:r w:rsidR="000E01F4">
        <w:rPr>
          <w:sz w:val="22"/>
          <w:szCs w:val="22"/>
        </w:rPr>
        <w:t>operation between 52.6 GHz and 71 GHz</w:t>
      </w:r>
      <w:r w:rsidRPr="002758D3">
        <w:rPr>
          <w:sz w:val="22"/>
          <w:szCs w:val="22"/>
        </w:rPr>
        <w:t xml:space="preserve">.  </w:t>
      </w:r>
      <w:r w:rsidRPr="002758D3">
        <w:rPr>
          <w:sz w:val="22"/>
          <w:szCs w:val="22"/>
        </w:rPr>
        <w:fldChar w:fldCharType="begin"/>
      </w:r>
      <w:r w:rsidRPr="002758D3">
        <w:rPr>
          <w:sz w:val="22"/>
          <w:szCs w:val="22"/>
        </w:rPr>
        <w:instrText xml:space="preserve"> REF _Ref506539436 \h </w:instrText>
      </w:r>
      <w:r w:rsidR="002758D3">
        <w:rPr>
          <w:sz w:val="22"/>
          <w:szCs w:val="22"/>
        </w:rPr>
        <w:instrText xml:space="preserve"> \* MERGEFORMAT </w:instrText>
      </w:r>
      <w:r w:rsidRPr="002758D3">
        <w:rPr>
          <w:sz w:val="22"/>
          <w:szCs w:val="22"/>
        </w:rPr>
      </w:r>
      <w:r w:rsidRPr="002758D3">
        <w:rPr>
          <w:sz w:val="22"/>
          <w:szCs w:val="22"/>
        </w:rPr>
        <w:fldChar w:fldCharType="separate"/>
      </w:r>
      <w:r w:rsidR="00034C09" w:rsidRPr="002758D3">
        <w:rPr>
          <w:sz w:val="22"/>
          <w:szCs w:val="22"/>
        </w:rPr>
        <w:t xml:space="preserve">Figure </w:t>
      </w:r>
      <w:r w:rsidR="00034C09">
        <w:rPr>
          <w:noProof/>
          <w:sz w:val="22"/>
          <w:szCs w:val="22"/>
        </w:rPr>
        <w:t>3</w:t>
      </w:r>
      <w:r w:rsidR="00034C09" w:rsidRPr="002758D3">
        <w:rPr>
          <w:noProof/>
          <w:sz w:val="22"/>
          <w:szCs w:val="22"/>
        </w:rPr>
        <w:noBreakHyphen/>
      </w:r>
      <w:r w:rsidR="00034C09">
        <w:rPr>
          <w:noProof/>
          <w:sz w:val="22"/>
          <w:szCs w:val="22"/>
        </w:rPr>
        <w:t>1</w:t>
      </w:r>
      <w:r w:rsidRPr="002758D3">
        <w:rPr>
          <w:sz w:val="22"/>
          <w:szCs w:val="22"/>
        </w:rPr>
        <w:fldChar w:fldCharType="end"/>
      </w:r>
      <w:r w:rsidRPr="002758D3">
        <w:rPr>
          <w:sz w:val="22"/>
          <w:szCs w:val="22"/>
        </w:rPr>
        <w:t xml:space="preserve"> illustrates an example: LBT from </w:t>
      </w:r>
      <w:r w:rsidR="000E01F4">
        <w:rPr>
          <w:sz w:val="22"/>
          <w:szCs w:val="22"/>
        </w:rPr>
        <w:t xml:space="preserve">the </w:t>
      </w:r>
      <w:r w:rsidRPr="002758D3">
        <w:rPr>
          <w:sz w:val="22"/>
          <w:szCs w:val="22"/>
        </w:rPr>
        <w:t xml:space="preserve">gNB would not be able to identify the directional transmission from </w:t>
      </w:r>
      <w:r w:rsidR="008F78E4" w:rsidRPr="002758D3">
        <w:rPr>
          <w:sz w:val="22"/>
          <w:szCs w:val="22"/>
        </w:rPr>
        <w:t xml:space="preserve">a </w:t>
      </w:r>
      <w:r w:rsidRPr="002758D3">
        <w:rPr>
          <w:sz w:val="22"/>
          <w:szCs w:val="22"/>
        </w:rPr>
        <w:t xml:space="preserve">hidden Wi-Fi AP </w:t>
      </w:r>
      <w:r w:rsidR="005C7D22">
        <w:rPr>
          <w:sz w:val="22"/>
          <w:szCs w:val="22"/>
        </w:rPr>
        <w:t>that</w:t>
      </w:r>
      <w:r w:rsidR="005C7D22" w:rsidRPr="002758D3">
        <w:rPr>
          <w:sz w:val="22"/>
          <w:szCs w:val="22"/>
        </w:rPr>
        <w:t xml:space="preserve"> </w:t>
      </w:r>
      <w:r w:rsidRPr="002758D3">
        <w:rPr>
          <w:sz w:val="22"/>
          <w:szCs w:val="22"/>
        </w:rPr>
        <w:t xml:space="preserve">is transmitting to UE1. </w:t>
      </w:r>
      <w:r w:rsidR="000E01F4">
        <w:rPr>
          <w:sz w:val="22"/>
          <w:szCs w:val="22"/>
        </w:rPr>
        <w:t>In this scenario,</w:t>
      </w:r>
      <w:r w:rsidRPr="002758D3">
        <w:rPr>
          <w:sz w:val="22"/>
          <w:szCs w:val="22"/>
        </w:rPr>
        <w:t xml:space="preserve"> the signal transmitted from </w:t>
      </w:r>
      <w:r w:rsidR="000E01F4">
        <w:rPr>
          <w:sz w:val="22"/>
          <w:szCs w:val="22"/>
        </w:rPr>
        <w:t xml:space="preserve">the </w:t>
      </w:r>
      <w:r w:rsidRPr="002758D3">
        <w:rPr>
          <w:sz w:val="22"/>
          <w:szCs w:val="22"/>
        </w:rPr>
        <w:t>gNB to UE2 can be jammed by the Wi-Fi signal. Similarly, the reception at UE1 could also be severely interfered by the gNB’s transmission.</w:t>
      </w:r>
    </w:p>
    <w:p w14:paraId="2DB0DD1A" w14:textId="77777777" w:rsidR="000E01F4" w:rsidRPr="002758D3" w:rsidRDefault="000E01F4" w:rsidP="00000AC2">
      <w:pPr>
        <w:jc w:val="both"/>
        <w:rPr>
          <w:sz w:val="22"/>
          <w:szCs w:val="22"/>
        </w:rPr>
      </w:pPr>
    </w:p>
    <w:p w14:paraId="525E6C2A" w14:textId="77777777" w:rsidR="00000AC2" w:rsidRDefault="00000AC2" w:rsidP="00000AC2">
      <w:pPr>
        <w:jc w:val="center"/>
      </w:pPr>
      <w:r w:rsidRPr="000D13F7">
        <w:rPr>
          <w:noProof/>
        </w:rPr>
        <w:lastRenderedPageBreak/>
        <w:drawing>
          <wp:inline distT="0" distB="0" distL="0" distR="0" wp14:anchorId="3C76A797" wp14:editId="064CABC4">
            <wp:extent cx="3412273" cy="1571946"/>
            <wp:effectExtent l="0" t="0" r="4445" b="0"/>
            <wp:docPr id="3" name="Picture 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1503" cy="1580805"/>
                    </a:xfrm>
                    <a:prstGeom prst="rect">
                      <a:avLst/>
                    </a:prstGeom>
                  </pic:spPr>
                </pic:pic>
              </a:graphicData>
            </a:graphic>
          </wp:inline>
        </w:drawing>
      </w:r>
    </w:p>
    <w:p w14:paraId="0B68691E" w14:textId="0D34AB95" w:rsidR="00000AC2" w:rsidRPr="002758D3" w:rsidRDefault="00000AC2" w:rsidP="00000AC2">
      <w:pPr>
        <w:pStyle w:val="Caption"/>
        <w:rPr>
          <w:sz w:val="22"/>
          <w:szCs w:val="22"/>
        </w:rPr>
      </w:pPr>
      <w:bookmarkStart w:id="1" w:name="_Ref506539436"/>
      <w:r w:rsidRPr="002758D3">
        <w:rPr>
          <w:sz w:val="22"/>
          <w:szCs w:val="22"/>
        </w:rPr>
        <w:t xml:space="preserve">Figure </w:t>
      </w:r>
      <w:r w:rsidRPr="002758D3">
        <w:rPr>
          <w:sz w:val="22"/>
          <w:szCs w:val="22"/>
        </w:rPr>
        <w:fldChar w:fldCharType="begin"/>
      </w:r>
      <w:r w:rsidRPr="002758D3">
        <w:rPr>
          <w:sz w:val="22"/>
          <w:szCs w:val="22"/>
        </w:rPr>
        <w:instrText xml:space="preserve"> STYLEREF 1 \s </w:instrText>
      </w:r>
      <w:r w:rsidRPr="002758D3">
        <w:rPr>
          <w:sz w:val="22"/>
          <w:szCs w:val="22"/>
        </w:rPr>
        <w:fldChar w:fldCharType="separate"/>
      </w:r>
      <w:r w:rsidR="00034C09">
        <w:rPr>
          <w:noProof/>
          <w:sz w:val="22"/>
          <w:szCs w:val="22"/>
        </w:rPr>
        <w:t>3</w:t>
      </w:r>
      <w:r w:rsidRPr="002758D3">
        <w:rPr>
          <w:noProof/>
          <w:sz w:val="22"/>
          <w:szCs w:val="22"/>
        </w:rPr>
        <w:fldChar w:fldCharType="end"/>
      </w:r>
      <w:r w:rsidRPr="002758D3">
        <w:rPr>
          <w:sz w:val="22"/>
          <w:szCs w:val="22"/>
        </w:rPr>
        <w:noBreakHyphen/>
      </w:r>
      <w:r w:rsidRPr="002758D3">
        <w:rPr>
          <w:sz w:val="22"/>
          <w:szCs w:val="22"/>
        </w:rPr>
        <w:fldChar w:fldCharType="begin"/>
      </w:r>
      <w:r w:rsidRPr="002758D3">
        <w:rPr>
          <w:sz w:val="22"/>
          <w:szCs w:val="22"/>
        </w:rPr>
        <w:instrText xml:space="preserve"> SEQ Figure \* ARABIC \s 1 </w:instrText>
      </w:r>
      <w:r w:rsidRPr="002758D3">
        <w:rPr>
          <w:sz w:val="22"/>
          <w:szCs w:val="22"/>
        </w:rPr>
        <w:fldChar w:fldCharType="separate"/>
      </w:r>
      <w:r w:rsidR="00034C09">
        <w:rPr>
          <w:noProof/>
          <w:sz w:val="22"/>
          <w:szCs w:val="22"/>
        </w:rPr>
        <w:t>1</w:t>
      </w:r>
      <w:r w:rsidRPr="002758D3">
        <w:rPr>
          <w:noProof/>
          <w:sz w:val="22"/>
          <w:szCs w:val="22"/>
        </w:rPr>
        <w:fldChar w:fldCharType="end"/>
      </w:r>
      <w:bookmarkEnd w:id="1"/>
      <w:r w:rsidRPr="002758D3">
        <w:rPr>
          <w:sz w:val="22"/>
          <w:szCs w:val="22"/>
        </w:rPr>
        <w:t xml:space="preserve"> hidden nodes due to directional interference</w:t>
      </w:r>
    </w:p>
    <w:p w14:paraId="274D1F3A" w14:textId="28B32744" w:rsidR="00AB2274" w:rsidRDefault="00000AC2" w:rsidP="00000AC2">
      <w:pPr>
        <w:jc w:val="both"/>
        <w:rPr>
          <w:sz w:val="22"/>
          <w:szCs w:val="22"/>
        </w:rPr>
      </w:pPr>
      <w:r w:rsidRPr="002758D3">
        <w:rPr>
          <w:sz w:val="22"/>
          <w:szCs w:val="22"/>
        </w:rPr>
        <w:t xml:space="preserve">In this case, the CCA can be further enhanced if </w:t>
      </w:r>
      <w:r w:rsidR="00AB2274">
        <w:rPr>
          <w:sz w:val="22"/>
          <w:szCs w:val="22"/>
        </w:rPr>
        <w:t xml:space="preserve">the </w:t>
      </w:r>
      <w:r w:rsidRPr="002758D3">
        <w:rPr>
          <w:sz w:val="22"/>
          <w:szCs w:val="22"/>
        </w:rPr>
        <w:t>gNB sends out a short R</w:t>
      </w:r>
      <w:r w:rsidR="005C7D22">
        <w:rPr>
          <w:sz w:val="22"/>
          <w:szCs w:val="22"/>
        </w:rPr>
        <w:t>equest-</w:t>
      </w:r>
      <w:r w:rsidRPr="002758D3">
        <w:rPr>
          <w:sz w:val="22"/>
          <w:szCs w:val="22"/>
        </w:rPr>
        <w:t>T</w:t>
      </w:r>
      <w:r w:rsidR="005C7D22">
        <w:rPr>
          <w:sz w:val="22"/>
          <w:szCs w:val="22"/>
        </w:rPr>
        <w:t>o-</w:t>
      </w:r>
      <w:r w:rsidRPr="002758D3">
        <w:rPr>
          <w:sz w:val="22"/>
          <w:szCs w:val="22"/>
        </w:rPr>
        <w:t>S</w:t>
      </w:r>
      <w:r w:rsidR="005C7D22">
        <w:rPr>
          <w:sz w:val="22"/>
          <w:szCs w:val="22"/>
        </w:rPr>
        <w:t>end (RTS) like signal</w:t>
      </w:r>
      <w:r w:rsidRPr="002758D3">
        <w:rPr>
          <w:sz w:val="22"/>
          <w:szCs w:val="22"/>
        </w:rPr>
        <w:t xml:space="preserve"> </w:t>
      </w:r>
      <w:r w:rsidR="000E01F4">
        <w:rPr>
          <w:sz w:val="22"/>
          <w:szCs w:val="22"/>
        </w:rPr>
        <w:t>to</w:t>
      </w:r>
      <w:r w:rsidRPr="002758D3">
        <w:rPr>
          <w:sz w:val="22"/>
          <w:szCs w:val="22"/>
        </w:rPr>
        <w:t xml:space="preserve"> keep any potential interference to </w:t>
      </w:r>
      <w:r w:rsidR="00AB2274">
        <w:rPr>
          <w:sz w:val="22"/>
          <w:szCs w:val="22"/>
        </w:rPr>
        <w:t xml:space="preserve">the </w:t>
      </w:r>
      <w:r w:rsidR="000E01F4" w:rsidRPr="002758D3">
        <w:rPr>
          <w:sz w:val="22"/>
          <w:szCs w:val="22"/>
        </w:rPr>
        <w:t>minimum and</w:t>
      </w:r>
      <w:r w:rsidRPr="002758D3">
        <w:rPr>
          <w:sz w:val="22"/>
          <w:szCs w:val="22"/>
        </w:rPr>
        <w:t xml:space="preserve"> let</w:t>
      </w:r>
      <w:r w:rsidR="00AB2274">
        <w:rPr>
          <w:sz w:val="22"/>
          <w:szCs w:val="22"/>
        </w:rPr>
        <w:t>s</w:t>
      </w:r>
      <w:r w:rsidRPr="002758D3">
        <w:rPr>
          <w:sz w:val="22"/>
          <w:szCs w:val="22"/>
        </w:rPr>
        <w:t xml:space="preserve"> the target UE confirm </w:t>
      </w:r>
      <w:r w:rsidR="00AB2274">
        <w:rPr>
          <w:sz w:val="22"/>
          <w:szCs w:val="22"/>
        </w:rPr>
        <w:t xml:space="preserve">the channel is clear </w:t>
      </w:r>
      <w:r w:rsidRPr="002758D3">
        <w:rPr>
          <w:sz w:val="22"/>
          <w:szCs w:val="22"/>
        </w:rPr>
        <w:t>with a C</w:t>
      </w:r>
      <w:r w:rsidR="005C7D22">
        <w:rPr>
          <w:sz w:val="22"/>
          <w:szCs w:val="22"/>
        </w:rPr>
        <w:t xml:space="preserve">lear </w:t>
      </w:r>
      <w:r w:rsidR="00570639" w:rsidRPr="002758D3">
        <w:rPr>
          <w:sz w:val="22"/>
          <w:szCs w:val="22"/>
        </w:rPr>
        <w:t>to</w:t>
      </w:r>
      <w:r w:rsidR="005C7D22">
        <w:rPr>
          <w:sz w:val="22"/>
          <w:szCs w:val="22"/>
        </w:rPr>
        <w:t xml:space="preserve"> </w:t>
      </w:r>
      <w:r w:rsidRPr="002758D3">
        <w:rPr>
          <w:sz w:val="22"/>
          <w:szCs w:val="22"/>
        </w:rPr>
        <w:t>S</w:t>
      </w:r>
      <w:r w:rsidR="005C7D22">
        <w:rPr>
          <w:sz w:val="22"/>
          <w:szCs w:val="22"/>
        </w:rPr>
        <w:t>end like signal</w:t>
      </w:r>
      <w:r w:rsidRPr="002758D3">
        <w:rPr>
          <w:sz w:val="22"/>
          <w:szCs w:val="22"/>
        </w:rPr>
        <w:t xml:space="preserve">. This makes sure that the target UE will not be subject to any interferer unseen by the gNB. In addition, </w:t>
      </w:r>
      <w:r w:rsidR="00AB2274">
        <w:rPr>
          <w:sz w:val="22"/>
          <w:szCs w:val="22"/>
        </w:rPr>
        <w:t xml:space="preserve">as </w:t>
      </w:r>
      <w:r w:rsidRPr="002758D3">
        <w:rPr>
          <w:sz w:val="22"/>
          <w:szCs w:val="22"/>
        </w:rPr>
        <w:t xml:space="preserve">the Tx/Rx beam is typically wider at the UE side due to </w:t>
      </w:r>
      <w:r w:rsidR="008F78E4" w:rsidRPr="002758D3">
        <w:rPr>
          <w:sz w:val="22"/>
          <w:szCs w:val="22"/>
        </w:rPr>
        <w:t xml:space="preserve">its </w:t>
      </w:r>
      <w:r w:rsidRPr="002758D3">
        <w:rPr>
          <w:sz w:val="22"/>
          <w:szCs w:val="22"/>
        </w:rPr>
        <w:t xml:space="preserve">limited antenna configuration, the “wider” CTS beam could also mute potential interferers </w:t>
      </w:r>
      <w:r w:rsidR="000E01F4">
        <w:rPr>
          <w:sz w:val="22"/>
          <w:szCs w:val="22"/>
        </w:rPr>
        <w:t xml:space="preserve">that may be </w:t>
      </w:r>
      <w:r w:rsidRPr="002758D3">
        <w:rPr>
          <w:sz w:val="22"/>
          <w:szCs w:val="22"/>
        </w:rPr>
        <w:t xml:space="preserve">listening </w:t>
      </w:r>
      <w:r w:rsidR="000E01F4">
        <w:rPr>
          <w:sz w:val="22"/>
          <w:szCs w:val="22"/>
        </w:rPr>
        <w:t>in</w:t>
      </w:r>
      <w:r w:rsidRPr="002758D3">
        <w:rPr>
          <w:sz w:val="22"/>
          <w:szCs w:val="22"/>
        </w:rPr>
        <w:t xml:space="preserve"> the direction of the target UE.</w:t>
      </w:r>
      <w:r w:rsidR="000F380E" w:rsidRPr="002758D3">
        <w:rPr>
          <w:sz w:val="22"/>
          <w:szCs w:val="22"/>
        </w:rPr>
        <w:t xml:space="preserve"> </w:t>
      </w:r>
    </w:p>
    <w:p w14:paraId="0FA78410" w14:textId="77777777" w:rsidR="00AB2274" w:rsidRDefault="00AB2274" w:rsidP="00000AC2">
      <w:pPr>
        <w:jc w:val="both"/>
        <w:rPr>
          <w:sz w:val="22"/>
          <w:szCs w:val="22"/>
        </w:rPr>
      </w:pPr>
    </w:p>
    <w:p w14:paraId="3F8E8974" w14:textId="695D0DB0" w:rsidR="008E4530" w:rsidRDefault="00D32078" w:rsidP="00D32078">
      <w:pPr>
        <w:jc w:val="both"/>
        <w:rPr>
          <w:sz w:val="22"/>
          <w:szCs w:val="22"/>
        </w:rPr>
      </w:pPr>
      <w:r w:rsidRPr="002758D3">
        <w:rPr>
          <w:sz w:val="22"/>
          <w:szCs w:val="22"/>
        </w:rPr>
        <w:t xml:space="preserve">The “hidden nodes” issue is well known for CSMA type of multi-access for unlicensed spectrum, </w:t>
      </w:r>
      <w:r w:rsidR="00615713">
        <w:rPr>
          <w:sz w:val="22"/>
          <w:szCs w:val="22"/>
        </w:rPr>
        <w:t>especially</w:t>
      </w:r>
      <w:r w:rsidR="00615713" w:rsidRPr="002758D3">
        <w:rPr>
          <w:sz w:val="22"/>
          <w:szCs w:val="22"/>
        </w:rPr>
        <w:t xml:space="preserve"> </w:t>
      </w:r>
      <w:r w:rsidRPr="002758D3">
        <w:rPr>
          <w:sz w:val="22"/>
          <w:szCs w:val="22"/>
        </w:rPr>
        <w:t xml:space="preserve">for </w:t>
      </w:r>
      <w:r w:rsidR="00615713">
        <w:rPr>
          <w:sz w:val="22"/>
          <w:szCs w:val="22"/>
        </w:rPr>
        <w:t xml:space="preserve">the around </w:t>
      </w:r>
      <w:r w:rsidRPr="002758D3">
        <w:rPr>
          <w:sz w:val="22"/>
          <w:szCs w:val="22"/>
        </w:rPr>
        <w:t xml:space="preserve">6GHz spectrum where transmission/reception are less directional. As illustrated in </w:t>
      </w:r>
      <w:r w:rsidRPr="002758D3">
        <w:rPr>
          <w:sz w:val="22"/>
          <w:szCs w:val="22"/>
        </w:rPr>
        <w:fldChar w:fldCharType="begin"/>
      </w:r>
      <w:r w:rsidRPr="002758D3">
        <w:rPr>
          <w:sz w:val="22"/>
          <w:szCs w:val="22"/>
        </w:rPr>
        <w:instrText xml:space="preserve"> REF _Ref506475309 \h </w:instrText>
      </w:r>
      <w:r w:rsidR="002758D3">
        <w:rPr>
          <w:sz w:val="22"/>
          <w:szCs w:val="22"/>
        </w:rPr>
        <w:instrText xml:space="preserve"> \* MERGEFORMAT </w:instrText>
      </w:r>
      <w:r w:rsidRPr="002758D3">
        <w:rPr>
          <w:sz w:val="22"/>
          <w:szCs w:val="22"/>
        </w:rPr>
      </w:r>
      <w:r w:rsidRPr="002758D3">
        <w:rPr>
          <w:sz w:val="22"/>
          <w:szCs w:val="22"/>
        </w:rPr>
        <w:fldChar w:fldCharType="separate"/>
      </w:r>
      <w:r w:rsidR="00034C09" w:rsidRPr="00034C09">
        <w:rPr>
          <w:sz w:val="22"/>
          <w:szCs w:val="22"/>
        </w:rPr>
        <w:t xml:space="preserve">Figure </w:t>
      </w:r>
      <w:r w:rsidR="00034C09" w:rsidRPr="00034C09">
        <w:rPr>
          <w:noProof/>
          <w:sz w:val="22"/>
          <w:szCs w:val="22"/>
        </w:rPr>
        <w:t>3</w:t>
      </w:r>
      <w:r w:rsidR="00034C09" w:rsidRPr="00034C09">
        <w:rPr>
          <w:noProof/>
          <w:sz w:val="22"/>
          <w:szCs w:val="22"/>
        </w:rPr>
        <w:noBreakHyphen/>
        <w:t>2</w:t>
      </w:r>
      <w:r w:rsidRPr="002758D3">
        <w:rPr>
          <w:sz w:val="22"/>
          <w:szCs w:val="22"/>
        </w:rPr>
        <w:fldChar w:fldCharType="end"/>
      </w:r>
      <w:r w:rsidRPr="002758D3">
        <w:rPr>
          <w:sz w:val="22"/>
          <w:szCs w:val="22"/>
        </w:rPr>
        <w:t xml:space="preserve">, when </w:t>
      </w:r>
      <w:r w:rsidR="000E01F4">
        <w:rPr>
          <w:sz w:val="22"/>
          <w:szCs w:val="22"/>
        </w:rPr>
        <w:t xml:space="preserve">the </w:t>
      </w:r>
      <w:r w:rsidRPr="002758D3">
        <w:rPr>
          <w:sz w:val="22"/>
          <w:szCs w:val="22"/>
        </w:rPr>
        <w:t xml:space="preserve">gNB performs </w:t>
      </w:r>
      <w:r w:rsidR="000E01F4">
        <w:rPr>
          <w:sz w:val="22"/>
          <w:szCs w:val="22"/>
        </w:rPr>
        <w:t xml:space="preserve">an </w:t>
      </w:r>
      <w:r w:rsidRPr="002758D3">
        <w:rPr>
          <w:sz w:val="22"/>
          <w:szCs w:val="22"/>
        </w:rPr>
        <w:t>LBT before reaching the UE1, it may not detect the transmission from another Wi-Fi AP, which is close enough to UE1 but far from the gNB. Therefore, the transmission from gNB to the UE1 can potentially be jammed by the transmission from AP.</w:t>
      </w:r>
      <w:r w:rsidR="000E01F4">
        <w:rPr>
          <w:sz w:val="22"/>
          <w:szCs w:val="22"/>
        </w:rPr>
        <w:t xml:space="preserve"> This may be exacerbated by the presence of beam-based transmission. </w:t>
      </w:r>
    </w:p>
    <w:p w14:paraId="6D48D0A2" w14:textId="77777777" w:rsidR="008E4530" w:rsidRPr="002758D3" w:rsidRDefault="008E4530" w:rsidP="00D32078">
      <w:pPr>
        <w:jc w:val="both"/>
        <w:rPr>
          <w:sz w:val="22"/>
          <w:szCs w:val="22"/>
        </w:rPr>
      </w:pPr>
    </w:p>
    <w:p w14:paraId="0BE1F115" w14:textId="77777777" w:rsidR="00D32078" w:rsidRDefault="00D32078" w:rsidP="00D32078">
      <w:pPr>
        <w:jc w:val="center"/>
      </w:pPr>
      <w:r w:rsidRPr="00196D77">
        <w:rPr>
          <w:noProof/>
        </w:rPr>
        <w:drawing>
          <wp:inline distT="0" distB="0" distL="0" distR="0" wp14:anchorId="18C18FC2" wp14:editId="54B4B581">
            <wp:extent cx="3479800" cy="1028700"/>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9800" cy="1028700"/>
                    </a:xfrm>
                    <a:prstGeom prst="rect">
                      <a:avLst/>
                    </a:prstGeom>
                  </pic:spPr>
                </pic:pic>
              </a:graphicData>
            </a:graphic>
          </wp:inline>
        </w:drawing>
      </w:r>
    </w:p>
    <w:p w14:paraId="75EA632E" w14:textId="1E9CDC2A" w:rsidR="00D32078" w:rsidRDefault="00D32078" w:rsidP="00D32078">
      <w:pPr>
        <w:pStyle w:val="Caption"/>
      </w:pPr>
      <w:bookmarkStart w:id="2" w:name="_Ref506475309"/>
      <w:r>
        <w:t xml:space="preserve">Figure </w:t>
      </w:r>
      <w:fldSimple w:instr=" STYLEREF 1 \s ">
        <w:r w:rsidR="00034C09">
          <w:rPr>
            <w:noProof/>
          </w:rPr>
          <w:t>3</w:t>
        </w:r>
      </w:fldSimple>
      <w:r>
        <w:noBreakHyphen/>
      </w:r>
      <w:fldSimple w:instr=" SEQ Figure \* ARABIC \s 1 ">
        <w:r w:rsidR="00034C09">
          <w:rPr>
            <w:noProof/>
          </w:rPr>
          <w:t>2</w:t>
        </w:r>
      </w:fldSimple>
      <w:bookmarkEnd w:id="2"/>
      <w:r>
        <w:t xml:space="preserve"> hidden nodes from distant interferer</w:t>
      </w:r>
    </w:p>
    <w:p w14:paraId="3BEBD086" w14:textId="19CF81F0" w:rsidR="00D32078" w:rsidRPr="002758D3" w:rsidRDefault="00D32078" w:rsidP="00D32078">
      <w:pPr>
        <w:jc w:val="both"/>
        <w:rPr>
          <w:sz w:val="22"/>
          <w:szCs w:val="22"/>
        </w:rPr>
      </w:pPr>
      <w:r w:rsidRPr="002758D3">
        <w:rPr>
          <w:sz w:val="22"/>
          <w:szCs w:val="22"/>
        </w:rPr>
        <w:t xml:space="preserve">With </w:t>
      </w:r>
      <w:r w:rsidR="00000AC2" w:rsidRPr="002758D3">
        <w:rPr>
          <w:sz w:val="22"/>
          <w:szCs w:val="22"/>
        </w:rPr>
        <w:t xml:space="preserve">an </w:t>
      </w:r>
      <w:r w:rsidRPr="002758D3">
        <w:rPr>
          <w:sz w:val="22"/>
          <w:szCs w:val="22"/>
        </w:rPr>
        <w:t>alternative RTS/CTS</w:t>
      </w:r>
      <w:r w:rsidR="00615713">
        <w:rPr>
          <w:sz w:val="22"/>
          <w:szCs w:val="22"/>
        </w:rPr>
        <w:t>-like</w:t>
      </w:r>
      <w:r w:rsidRPr="002758D3">
        <w:rPr>
          <w:sz w:val="22"/>
          <w:szCs w:val="22"/>
        </w:rPr>
        <w:t xml:space="preserve"> mechanism, UE1 can </w:t>
      </w:r>
      <w:r w:rsidR="000E01F4">
        <w:rPr>
          <w:sz w:val="22"/>
          <w:szCs w:val="22"/>
        </w:rPr>
        <w:t xml:space="preserve">transmit a CTS to the gNB only </w:t>
      </w:r>
      <w:r w:rsidRPr="002758D3">
        <w:rPr>
          <w:sz w:val="22"/>
          <w:szCs w:val="22"/>
        </w:rPr>
        <w:t>when the channel is not being occupied or interference seen at the UE side is weak enough, as well as “</w:t>
      </w:r>
      <w:r w:rsidR="000E01F4">
        <w:rPr>
          <w:sz w:val="22"/>
          <w:szCs w:val="22"/>
        </w:rPr>
        <w:t>mute</w:t>
      </w:r>
      <w:r w:rsidRPr="002758D3">
        <w:rPr>
          <w:sz w:val="22"/>
          <w:szCs w:val="22"/>
        </w:rPr>
        <w:t>” other potential close-by interferers.</w:t>
      </w:r>
    </w:p>
    <w:p w14:paraId="0A0F9DE9" w14:textId="1429A8D9" w:rsidR="008F78E4" w:rsidRPr="002758D3" w:rsidRDefault="008F78E4" w:rsidP="00D32078">
      <w:pPr>
        <w:jc w:val="both"/>
        <w:rPr>
          <w:sz w:val="22"/>
          <w:szCs w:val="22"/>
        </w:rPr>
      </w:pPr>
    </w:p>
    <w:p w14:paraId="1E5F2AB4" w14:textId="186BA048" w:rsidR="008F78E4" w:rsidRPr="002758D3" w:rsidRDefault="008F78E4" w:rsidP="008F78E4">
      <w:pPr>
        <w:jc w:val="both"/>
        <w:rPr>
          <w:bCs/>
          <w:i/>
          <w:sz w:val="22"/>
          <w:szCs w:val="22"/>
        </w:rPr>
      </w:pPr>
      <w:r w:rsidRPr="002758D3">
        <w:rPr>
          <w:b/>
          <w:i/>
          <w:sz w:val="22"/>
          <w:szCs w:val="22"/>
        </w:rPr>
        <w:t xml:space="preserve">Proposal </w:t>
      </w:r>
      <w:r w:rsidR="00F90A07">
        <w:rPr>
          <w:b/>
          <w:i/>
          <w:sz w:val="22"/>
          <w:szCs w:val="22"/>
        </w:rPr>
        <w:t>3</w:t>
      </w:r>
      <w:r w:rsidRPr="002758D3">
        <w:rPr>
          <w:b/>
          <w:i/>
          <w:sz w:val="22"/>
          <w:szCs w:val="22"/>
        </w:rPr>
        <w:t xml:space="preserve">: </w:t>
      </w:r>
      <w:r w:rsidR="000E01F4">
        <w:rPr>
          <w:bCs/>
          <w:i/>
          <w:sz w:val="22"/>
          <w:szCs w:val="22"/>
        </w:rPr>
        <w:t>RAN1</w:t>
      </w:r>
      <w:r w:rsidRPr="002758D3">
        <w:rPr>
          <w:bCs/>
          <w:i/>
          <w:sz w:val="22"/>
          <w:szCs w:val="22"/>
        </w:rPr>
        <w:t xml:space="preserve"> to </w:t>
      </w:r>
      <w:r w:rsidR="00EF1E3D" w:rsidRPr="002758D3">
        <w:rPr>
          <w:bCs/>
          <w:i/>
          <w:sz w:val="22"/>
          <w:szCs w:val="22"/>
        </w:rPr>
        <w:t>study the effect of an</w:t>
      </w:r>
      <w:r w:rsidRPr="002758D3">
        <w:rPr>
          <w:bCs/>
          <w:i/>
          <w:sz w:val="22"/>
          <w:szCs w:val="22"/>
        </w:rPr>
        <w:t xml:space="preserve"> RTS/CTS</w:t>
      </w:r>
      <w:r w:rsidR="00615713">
        <w:rPr>
          <w:bCs/>
          <w:i/>
          <w:sz w:val="22"/>
          <w:szCs w:val="22"/>
        </w:rPr>
        <w:t>-like</w:t>
      </w:r>
      <w:r w:rsidRPr="002758D3">
        <w:rPr>
          <w:bCs/>
          <w:i/>
          <w:sz w:val="22"/>
          <w:szCs w:val="22"/>
        </w:rPr>
        <w:t xml:space="preserve"> mechanism to help </w:t>
      </w:r>
      <w:r w:rsidR="0005095F">
        <w:rPr>
          <w:bCs/>
          <w:i/>
          <w:sz w:val="22"/>
          <w:szCs w:val="22"/>
        </w:rPr>
        <w:t xml:space="preserve">in </w:t>
      </w:r>
      <w:r w:rsidRPr="002758D3">
        <w:rPr>
          <w:bCs/>
          <w:i/>
          <w:sz w:val="22"/>
          <w:szCs w:val="22"/>
        </w:rPr>
        <w:t xml:space="preserve">mitigating </w:t>
      </w:r>
      <w:r w:rsidR="00B826ED">
        <w:rPr>
          <w:bCs/>
          <w:i/>
          <w:sz w:val="22"/>
          <w:szCs w:val="22"/>
        </w:rPr>
        <w:t xml:space="preserve">directional interference or </w:t>
      </w:r>
      <w:r w:rsidRPr="002758D3">
        <w:rPr>
          <w:bCs/>
          <w:i/>
          <w:sz w:val="22"/>
          <w:szCs w:val="22"/>
        </w:rPr>
        <w:t>potential hidden node issue</w:t>
      </w:r>
      <w:r w:rsidR="00B826ED">
        <w:rPr>
          <w:bCs/>
          <w:i/>
          <w:sz w:val="22"/>
          <w:szCs w:val="22"/>
        </w:rPr>
        <w:t>s</w:t>
      </w:r>
      <w:r w:rsidRPr="002758D3">
        <w:rPr>
          <w:bCs/>
          <w:i/>
          <w:sz w:val="22"/>
          <w:szCs w:val="22"/>
        </w:rPr>
        <w:t>.</w:t>
      </w:r>
    </w:p>
    <w:p w14:paraId="3D347DFC" w14:textId="77777777" w:rsidR="00D32078" w:rsidRDefault="00D32078" w:rsidP="00652435">
      <w:pPr>
        <w:pStyle w:val="Heading3"/>
      </w:pPr>
      <w:r>
        <w:t xml:space="preserve">UE </w:t>
      </w:r>
      <w:r w:rsidRPr="00652435">
        <w:t>Assisted</w:t>
      </w:r>
      <w:r>
        <w:t xml:space="preserve"> Channel Selection </w:t>
      </w:r>
    </w:p>
    <w:p w14:paraId="21D1F741" w14:textId="3E80E9E9" w:rsidR="00D32078" w:rsidRPr="002758D3" w:rsidRDefault="00D32078" w:rsidP="00D32078">
      <w:pPr>
        <w:jc w:val="both"/>
        <w:rPr>
          <w:sz w:val="22"/>
          <w:szCs w:val="22"/>
        </w:rPr>
      </w:pPr>
      <w:r w:rsidRPr="002758D3">
        <w:rPr>
          <w:sz w:val="22"/>
          <w:szCs w:val="22"/>
        </w:rPr>
        <w:t>One mechanism that enables</w:t>
      </w:r>
      <w:r w:rsidR="000E01F4">
        <w:rPr>
          <w:sz w:val="22"/>
          <w:szCs w:val="22"/>
        </w:rPr>
        <w:t xml:space="preserve"> </w:t>
      </w:r>
      <w:r w:rsidRPr="002758D3">
        <w:rPr>
          <w:sz w:val="22"/>
          <w:szCs w:val="22"/>
        </w:rPr>
        <w:t xml:space="preserve">fair spectrum sharing is dynamic channel selection, where the transmitter can scan the spectrum for available channels both at initial power up as well as periodically after initial power up. This dynamic channel selection can be helpful in regions where LBT </w:t>
      </w:r>
      <w:r w:rsidR="00AB2274">
        <w:rPr>
          <w:sz w:val="22"/>
          <w:szCs w:val="22"/>
        </w:rPr>
        <w:t>is</w:t>
      </w:r>
      <w:r w:rsidRPr="002758D3">
        <w:rPr>
          <w:sz w:val="22"/>
          <w:szCs w:val="22"/>
        </w:rPr>
        <w:t xml:space="preserve"> not mandated. The measurement is typically done at the transmitter side, and typically uses energy-based measurement making it RAT agnostic.</w:t>
      </w:r>
    </w:p>
    <w:p w14:paraId="0F072FC4" w14:textId="77777777" w:rsidR="00D32078" w:rsidRPr="002758D3" w:rsidRDefault="00D32078" w:rsidP="00D32078">
      <w:pPr>
        <w:jc w:val="both"/>
        <w:rPr>
          <w:sz w:val="22"/>
          <w:szCs w:val="22"/>
        </w:rPr>
      </w:pPr>
    </w:p>
    <w:p w14:paraId="21C019B1" w14:textId="56F28AB6" w:rsidR="00D32078" w:rsidRPr="002758D3" w:rsidRDefault="00D32078" w:rsidP="00D32078">
      <w:pPr>
        <w:jc w:val="both"/>
        <w:rPr>
          <w:sz w:val="22"/>
          <w:szCs w:val="22"/>
        </w:rPr>
      </w:pPr>
      <w:r w:rsidRPr="002758D3">
        <w:rPr>
          <w:sz w:val="22"/>
          <w:szCs w:val="22"/>
        </w:rPr>
        <w:t>As discussed in earlier sections, in certain scenarios, the interference or channel utilization observed at the transmitter does not always reflect the interference seen at the receiver side, which is often more relevant</w:t>
      </w:r>
      <w:r w:rsidR="000E01F4">
        <w:rPr>
          <w:sz w:val="22"/>
          <w:szCs w:val="22"/>
        </w:rPr>
        <w:t xml:space="preserve"> </w:t>
      </w:r>
      <w:r w:rsidR="000E01F4">
        <w:rPr>
          <w:sz w:val="22"/>
          <w:szCs w:val="22"/>
        </w:rPr>
        <w:lastRenderedPageBreak/>
        <w:t>to receiver performance</w:t>
      </w:r>
      <w:r w:rsidRPr="002758D3">
        <w:rPr>
          <w:sz w:val="22"/>
          <w:szCs w:val="22"/>
        </w:rPr>
        <w:t xml:space="preserve">. Therefore, it could be helpful </w:t>
      </w:r>
      <w:r w:rsidR="008F78E4" w:rsidRPr="002758D3">
        <w:rPr>
          <w:sz w:val="22"/>
          <w:szCs w:val="22"/>
        </w:rPr>
        <w:t>if the</w:t>
      </w:r>
      <w:r w:rsidRPr="002758D3">
        <w:rPr>
          <w:sz w:val="22"/>
          <w:szCs w:val="22"/>
        </w:rPr>
        <w:t xml:space="preserve"> UEs </w:t>
      </w:r>
      <w:r w:rsidR="008F78E4" w:rsidRPr="002758D3">
        <w:rPr>
          <w:sz w:val="22"/>
          <w:szCs w:val="22"/>
        </w:rPr>
        <w:t>could</w:t>
      </w:r>
      <w:r w:rsidRPr="002758D3">
        <w:rPr>
          <w:sz w:val="22"/>
          <w:szCs w:val="22"/>
        </w:rPr>
        <w:t xml:space="preserve"> periodically (or occasionally) report their own measurement to the gNB scheduler to assist the channel selection procedure. </w:t>
      </w:r>
    </w:p>
    <w:p w14:paraId="61A66A93" w14:textId="77777777" w:rsidR="00D32078" w:rsidRPr="002758D3" w:rsidRDefault="00D32078" w:rsidP="00D32078">
      <w:pPr>
        <w:jc w:val="both"/>
        <w:rPr>
          <w:sz w:val="22"/>
          <w:szCs w:val="22"/>
        </w:rPr>
      </w:pPr>
    </w:p>
    <w:p w14:paraId="359578B7" w14:textId="207714AF" w:rsidR="00D32078" w:rsidRPr="002758D3" w:rsidRDefault="00D32078" w:rsidP="00D32078">
      <w:pPr>
        <w:rPr>
          <w:b/>
          <w:i/>
          <w:sz w:val="22"/>
          <w:szCs w:val="22"/>
        </w:rPr>
      </w:pPr>
      <w:r w:rsidRPr="002758D3">
        <w:rPr>
          <w:b/>
          <w:i/>
          <w:sz w:val="22"/>
          <w:szCs w:val="22"/>
        </w:rPr>
        <w:t xml:space="preserve">Proposal </w:t>
      </w:r>
      <w:r w:rsidR="00F90A07">
        <w:rPr>
          <w:b/>
          <w:i/>
          <w:sz w:val="22"/>
          <w:szCs w:val="22"/>
        </w:rPr>
        <w:t>4</w:t>
      </w:r>
      <w:r w:rsidRPr="002758D3">
        <w:rPr>
          <w:b/>
          <w:i/>
          <w:sz w:val="22"/>
          <w:szCs w:val="22"/>
        </w:rPr>
        <w:t xml:space="preserve">: </w:t>
      </w:r>
      <w:r w:rsidR="000E01F4">
        <w:rPr>
          <w:bCs/>
          <w:i/>
          <w:sz w:val="22"/>
          <w:szCs w:val="22"/>
        </w:rPr>
        <w:t>RAN1</w:t>
      </w:r>
      <w:r w:rsidRPr="002758D3">
        <w:rPr>
          <w:bCs/>
          <w:i/>
          <w:sz w:val="22"/>
          <w:szCs w:val="22"/>
        </w:rPr>
        <w:t xml:space="preserve"> to </w:t>
      </w:r>
      <w:r w:rsidR="002758D3">
        <w:rPr>
          <w:bCs/>
          <w:i/>
          <w:sz w:val="22"/>
          <w:szCs w:val="22"/>
        </w:rPr>
        <w:t>study the use of</w:t>
      </w:r>
      <w:r w:rsidRPr="002758D3">
        <w:rPr>
          <w:bCs/>
          <w:i/>
          <w:sz w:val="22"/>
          <w:szCs w:val="22"/>
        </w:rPr>
        <w:t xml:space="preserve"> UE-assisted channel selection.</w:t>
      </w:r>
    </w:p>
    <w:p w14:paraId="56254E41" w14:textId="7BEDC187" w:rsidR="000F380E" w:rsidRDefault="001572A4" w:rsidP="00652435">
      <w:pPr>
        <w:pStyle w:val="Heading3"/>
      </w:pPr>
      <w:r>
        <w:t>LBT with Carrier Aggregation</w:t>
      </w:r>
    </w:p>
    <w:p w14:paraId="2B50A51D" w14:textId="79C80BBA" w:rsidR="00BB421A" w:rsidRDefault="00085500" w:rsidP="00BB421A">
      <w:pPr>
        <w:jc w:val="both"/>
        <w:rPr>
          <w:sz w:val="22"/>
          <w:szCs w:val="22"/>
        </w:rPr>
      </w:pPr>
      <w:r>
        <w:rPr>
          <w:sz w:val="22"/>
          <w:szCs w:val="22"/>
        </w:rPr>
        <w:t xml:space="preserve">In the 5GHz </w:t>
      </w:r>
      <w:r w:rsidR="00BB421A">
        <w:rPr>
          <w:sz w:val="22"/>
          <w:szCs w:val="22"/>
        </w:rPr>
        <w:t xml:space="preserve">unlicensed </w:t>
      </w:r>
      <w:r>
        <w:rPr>
          <w:sz w:val="22"/>
          <w:szCs w:val="22"/>
        </w:rPr>
        <w:t>frequency band, it is explicitly stated</w:t>
      </w:r>
      <w:r w:rsidR="00BB421A">
        <w:rPr>
          <w:sz w:val="22"/>
          <w:szCs w:val="22"/>
        </w:rPr>
        <w:t xml:space="preserve"> by ETSI</w:t>
      </w:r>
      <w:r>
        <w:rPr>
          <w:sz w:val="22"/>
          <w:szCs w:val="22"/>
        </w:rPr>
        <w:t xml:space="preserve"> that “</w:t>
      </w:r>
      <w:r w:rsidR="00BB421A" w:rsidRPr="00BB421A">
        <w:rPr>
          <w:sz w:val="22"/>
          <w:szCs w:val="22"/>
        </w:rPr>
        <w:t xml:space="preserve">Equipment may have simultaneous transmissions on more than one </w:t>
      </w:r>
      <w:r w:rsidR="000E01F4">
        <w:rPr>
          <w:sz w:val="22"/>
          <w:szCs w:val="22"/>
        </w:rPr>
        <w:t>o</w:t>
      </w:r>
      <w:r w:rsidR="00BB421A" w:rsidRPr="00BB421A">
        <w:rPr>
          <w:sz w:val="22"/>
          <w:szCs w:val="22"/>
        </w:rPr>
        <w:t xml:space="preserve">perating </w:t>
      </w:r>
      <w:r w:rsidR="000E01F4">
        <w:rPr>
          <w:sz w:val="22"/>
          <w:szCs w:val="22"/>
        </w:rPr>
        <w:t>c</w:t>
      </w:r>
      <w:r w:rsidR="00BB421A" w:rsidRPr="00BB421A">
        <w:rPr>
          <w:sz w:val="22"/>
          <w:szCs w:val="22"/>
        </w:rPr>
        <w:t>hannel with a Nominal Channel</w:t>
      </w:r>
      <w:r w:rsidR="00BB421A">
        <w:rPr>
          <w:sz w:val="22"/>
          <w:szCs w:val="22"/>
        </w:rPr>
        <w:t xml:space="preserve"> </w:t>
      </w:r>
      <w:r w:rsidR="00BB421A" w:rsidRPr="00BB421A">
        <w:rPr>
          <w:sz w:val="22"/>
          <w:szCs w:val="22"/>
        </w:rPr>
        <w:t>Bandwidth of 20 MHz</w:t>
      </w:r>
      <w:r>
        <w:rPr>
          <w:sz w:val="22"/>
          <w:szCs w:val="22"/>
        </w:rPr>
        <w:t>”</w:t>
      </w:r>
      <w:r w:rsidR="00BB421A">
        <w:rPr>
          <w:sz w:val="22"/>
          <w:szCs w:val="22"/>
        </w:rPr>
        <w:t xml:space="preserve"> with the requirement </w:t>
      </w:r>
      <w:r w:rsidR="000E01F4">
        <w:rPr>
          <w:sz w:val="22"/>
          <w:szCs w:val="22"/>
        </w:rPr>
        <w:t>for</w:t>
      </w:r>
      <w:r w:rsidR="00BB421A">
        <w:rPr>
          <w:sz w:val="22"/>
          <w:szCs w:val="22"/>
        </w:rPr>
        <w:t xml:space="preserve"> </w:t>
      </w:r>
      <w:r w:rsidR="00BB421A" w:rsidRPr="00BB421A">
        <w:rPr>
          <w:sz w:val="22"/>
          <w:szCs w:val="22"/>
        </w:rPr>
        <w:t xml:space="preserve">Load </w:t>
      </w:r>
      <w:r w:rsidR="000E01F4">
        <w:rPr>
          <w:sz w:val="22"/>
          <w:szCs w:val="22"/>
        </w:rPr>
        <w:t>B</w:t>
      </w:r>
      <w:r w:rsidR="00BB421A" w:rsidRPr="00BB421A">
        <w:rPr>
          <w:sz w:val="22"/>
          <w:szCs w:val="22"/>
        </w:rPr>
        <w:t xml:space="preserve">ased Equipment </w:t>
      </w:r>
      <w:r w:rsidR="000E01F4">
        <w:rPr>
          <w:sz w:val="22"/>
          <w:szCs w:val="22"/>
        </w:rPr>
        <w:t>to</w:t>
      </w:r>
      <w:r w:rsidR="00BB421A" w:rsidRPr="00BB421A">
        <w:rPr>
          <w:sz w:val="22"/>
          <w:szCs w:val="22"/>
        </w:rPr>
        <w:t xml:space="preserve"> implement a Listen Before Talk (LBT) based Channel Access Mechanism to detect the presence of other transmissions on an Operating Channel</w:t>
      </w:r>
      <w:r w:rsidR="00BB421A">
        <w:rPr>
          <w:sz w:val="22"/>
          <w:szCs w:val="22"/>
        </w:rPr>
        <w:t xml:space="preserve"> </w:t>
      </w:r>
      <w:r w:rsidR="00BB421A">
        <w:rPr>
          <w:sz w:val="22"/>
          <w:szCs w:val="22"/>
        </w:rPr>
        <w:fldChar w:fldCharType="begin"/>
      </w:r>
      <w:r w:rsidR="00BB421A">
        <w:rPr>
          <w:sz w:val="22"/>
          <w:szCs w:val="22"/>
        </w:rPr>
        <w:instrText xml:space="preserve"> REF _Ref40393515 \r \h </w:instrText>
      </w:r>
      <w:r w:rsidR="00BB421A">
        <w:rPr>
          <w:sz w:val="22"/>
          <w:szCs w:val="22"/>
        </w:rPr>
      </w:r>
      <w:r w:rsidR="00BB421A">
        <w:rPr>
          <w:sz w:val="22"/>
          <w:szCs w:val="22"/>
        </w:rPr>
        <w:fldChar w:fldCharType="separate"/>
      </w:r>
      <w:r w:rsidR="00034C09">
        <w:rPr>
          <w:sz w:val="22"/>
          <w:szCs w:val="22"/>
        </w:rPr>
        <w:t>[6]</w:t>
      </w:r>
      <w:r w:rsidR="00BB421A">
        <w:rPr>
          <w:sz w:val="22"/>
          <w:szCs w:val="22"/>
        </w:rPr>
        <w:fldChar w:fldCharType="end"/>
      </w:r>
      <w:r w:rsidR="00BB421A" w:rsidRPr="00BB421A">
        <w:rPr>
          <w:sz w:val="22"/>
          <w:szCs w:val="22"/>
        </w:rPr>
        <w:t>.</w:t>
      </w:r>
    </w:p>
    <w:p w14:paraId="23D4F7F7" w14:textId="77777777" w:rsidR="00BB421A" w:rsidRDefault="00BB421A" w:rsidP="00BB421A">
      <w:pPr>
        <w:jc w:val="both"/>
        <w:rPr>
          <w:sz w:val="22"/>
          <w:szCs w:val="22"/>
        </w:rPr>
      </w:pPr>
    </w:p>
    <w:p w14:paraId="5A2EF8B8" w14:textId="0A1708AB" w:rsidR="00085500" w:rsidRDefault="000E01F4" w:rsidP="00BB421A">
      <w:pPr>
        <w:jc w:val="both"/>
        <w:rPr>
          <w:sz w:val="22"/>
          <w:szCs w:val="22"/>
        </w:rPr>
      </w:pPr>
      <w:r>
        <w:rPr>
          <w:sz w:val="22"/>
          <w:szCs w:val="22"/>
        </w:rPr>
        <w:t>Similar to the 5 GHz frequency band, i</w:t>
      </w:r>
      <w:r w:rsidR="00BB421A">
        <w:rPr>
          <w:sz w:val="22"/>
          <w:szCs w:val="22"/>
        </w:rPr>
        <w:t>n the 60 GHz unlicensed frequency band, it is explicitly state</w:t>
      </w:r>
      <w:r>
        <w:rPr>
          <w:sz w:val="22"/>
          <w:szCs w:val="22"/>
        </w:rPr>
        <w:t>d</w:t>
      </w:r>
      <w:r w:rsidR="00BB421A">
        <w:rPr>
          <w:sz w:val="22"/>
          <w:szCs w:val="22"/>
        </w:rPr>
        <w:t xml:space="preserve"> by ETSI that LBT is mandatory within an operating channel </w:t>
      </w:r>
      <w:r w:rsidR="00615713">
        <w:rPr>
          <w:sz w:val="22"/>
          <w:szCs w:val="22"/>
        </w:rPr>
        <w:t xml:space="preserve">for sub-band c1 multiple access </w:t>
      </w:r>
      <w:r w:rsidR="00BB421A">
        <w:rPr>
          <w:sz w:val="22"/>
          <w:szCs w:val="22"/>
        </w:rPr>
        <w:t xml:space="preserve">but unlike the 5 GHz band, an explicit nominal </w:t>
      </w:r>
      <w:r w:rsidR="0014015E">
        <w:rPr>
          <w:sz w:val="22"/>
          <w:szCs w:val="22"/>
        </w:rPr>
        <w:t>channel bandwidth is not defined</w:t>
      </w:r>
      <w:r w:rsidR="008B4BE8">
        <w:rPr>
          <w:sz w:val="22"/>
          <w:szCs w:val="22"/>
        </w:rPr>
        <w:t xml:space="preserve"> </w:t>
      </w:r>
      <w:r w:rsidR="008B4BE8">
        <w:rPr>
          <w:sz w:val="22"/>
          <w:szCs w:val="22"/>
        </w:rPr>
        <w:fldChar w:fldCharType="begin"/>
      </w:r>
      <w:r w:rsidR="008B4BE8">
        <w:rPr>
          <w:sz w:val="22"/>
          <w:szCs w:val="22"/>
        </w:rPr>
        <w:instrText xml:space="preserve"> REF _Ref40413541 \r \h </w:instrText>
      </w:r>
      <w:r w:rsidR="008B4BE8">
        <w:rPr>
          <w:sz w:val="22"/>
          <w:szCs w:val="22"/>
        </w:rPr>
      </w:r>
      <w:r w:rsidR="008B4BE8">
        <w:rPr>
          <w:sz w:val="22"/>
          <w:szCs w:val="22"/>
        </w:rPr>
        <w:fldChar w:fldCharType="separate"/>
      </w:r>
      <w:r w:rsidR="00034C09">
        <w:rPr>
          <w:sz w:val="22"/>
          <w:szCs w:val="22"/>
        </w:rPr>
        <w:t>[7]</w:t>
      </w:r>
      <w:r w:rsidR="008B4BE8">
        <w:rPr>
          <w:sz w:val="22"/>
          <w:szCs w:val="22"/>
        </w:rPr>
        <w:fldChar w:fldCharType="end"/>
      </w:r>
      <w:r w:rsidR="0014015E">
        <w:rPr>
          <w:sz w:val="22"/>
          <w:szCs w:val="22"/>
        </w:rPr>
        <w:t xml:space="preserve">. As such, NR operating </w:t>
      </w:r>
      <w:r>
        <w:rPr>
          <w:sz w:val="22"/>
          <w:szCs w:val="22"/>
        </w:rPr>
        <w:t xml:space="preserve">in the unlicensed band </w:t>
      </w:r>
      <w:r w:rsidR="0014015E">
        <w:rPr>
          <w:sz w:val="22"/>
          <w:szCs w:val="22"/>
        </w:rPr>
        <w:t>between 52.6 GHz and 71 GHz</w:t>
      </w:r>
      <w:r>
        <w:rPr>
          <w:sz w:val="22"/>
          <w:szCs w:val="22"/>
        </w:rPr>
        <w:t xml:space="preserve"> </w:t>
      </w:r>
      <w:r w:rsidR="0014015E">
        <w:rPr>
          <w:sz w:val="22"/>
          <w:szCs w:val="22"/>
        </w:rPr>
        <w:t xml:space="preserve"> may have the freedom to select the nominal channel bandwidth of operation. </w:t>
      </w:r>
    </w:p>
    <w:p w14:paraId="7C6F83E6" w14:textId="77777777" w:rsidR="00085500" w:rsidRDefault="00085500" w:rsidP="00085500">
      <w:pPr>
        <w:jc w:val="both"/>
        <w:rPr>
          <w:sz w:val="22"/>
          <w:szCs w:val="22"/>
        </w:rPr>
      </w:pPr>
    </w:p>
    <w:p w14:paraId="24C9DC91" w14:textId="0CC1155F" w:rsidR="00085500" w:rsidRDefault="008B4BE8" w:rsidP="00085500">
      <w:pPr>
        <w:jc w:val="both"/>
        <w:rPr>
          <w:sz w:val="22"/>
          <w:szCs w:val="22"/>
        </w:rPr>
      </w:pPr>
      <w:r w:rsidRPr="0057649C">
        <w:rPr>
          <w:sz w:val="22"/>
          <w:szCs w:val="22"/>
        </w:rPr>
        <w:t>Recommendation ITU-R M.2003</w:t>
      </w:r>
      <w:r w:rsidR="00673B70">
        <w:rPr>
          <w:sz w:val="22"/>
          <w:szCs w:val="22"/>
        </w:rPr>
        <w:t xml:space="preserve"> </w:t>
      </w:r>
      <w:r w:rsidR="00673B70">
        <w:rPr>
          <w:sz w:val="22"/>
          <w:szCs w:val="22"/>
        </w:rPr>
        <w:fldChar w:fldCharType="begin"/>
      </w:r>
      <w:r w:rsidR="00673B70">
        <w:rPr>
          <w:sz w:val="22"/>
          <w:szCs w:val="22"/>
        </w:rPr>
        <w:instrText xml:space="preserve"> REF _Ref40392390 \r \h </w:instrText>
      </w:r>
      <w:r w:rsidR="00673B70">
        <w:rPr>
          <w:sz w:val="22"/>
          <w:szCs w:val="22"/>
        </w:rPr>
      </w:r>
      <w:r w:rsidR="00673B70">
        <w:rPr>
          <w:sz w:val="22"/>
          <w:szCs w:val="22"/>
        </w:rPr>
        <w:fldChar w:fldCharType="separate"/>
      </w:r>
      <w:r w:rsidR="00034C09">
        <w:rPr>
          <w:sz w:val="22"/>
          <w:szCs w:val="22"/>
        </w:rPr>
        <w:t>[4]</w:t>
      </w:r>
      <w:r w:rsidR="00673B70">
        <w:rPr>
          <w:sz w:val="22"/>
          <w:szCs w:val="22"/>
        </w:rPr>
        <w:fldChar w:fldCharType="end"/>
      </w:r>
      <w:r w:rsidR="00673B70">
        <w:rPr>
          <w:sz w:val="22"/>
          <w:szCs w:val="22"/>
        </w:rPr>
        <w:t xml:space="preserve">, </w:t>
      </w:r>
      <w:r w:rsidR="000E01F4">
        <w:rPr>
          <w:sz w:val="22"/>
          <w:szCs w:val="22"/>
        </w:rPr>
        <w:t>observes</w:t>
      </w:r>
      <w:r w:rsidR="00673B70">
        <w:rPr>
          <w:sz w:val="22"/>
          <w:szCs w:val="22"/>
        </w:rPr>
        <w:t xml:space="preserve"> that a</w:t>
      </w:r>
      <w:r w:rsidR="00673B70" w:rsidRPr="00673B70">
        <w:rPr>
          <w:sz w:val="22"/>
          <w:szCs w:val="22"/>
        </w:rPr>
        <w:t xml:space="preserve"> </w:t>
      </w:r>
      <w:r w:rsidR="006D006D">
        <w:rPr>
          <w:sz w:val="22"/>
          <w:szCs w:val="22"/>
        </w:rPr>
        <w:t>2.16 GHz</w:t>
      </w:r>
      <w:r w:rsidR="00673B70" w:rsidRPr="00673B70">
        <w:rPr>
          <w:sz w:val="22"/>
          <w:szCs w:val="22"/>
        </w:rPr>
        <w:t xml:space="preserve"> MHz channel bandwidth is required for single channels </w:t>
      </w:r>
      <w:r w:rsidR="000E01F4">
        <w:rPr>
          <w:sz w:val="22"/>
          <w:szCs w:val="22"/>
        </w:rPr>
        <w:t>in</w:t>
      </w:r>
      <w:r w:rsidR="00673B70">
        <w:rPr>
          <w:sz w:val="22"/>
          <w:szCs w:val="22"/>
        </w:rPr>
        <w:t xml:space="preserve"> multiple existing standards operating around 60 GHz an</w:t>
      </w:r>
      <w:r w:rsidR="00085500">
        <w:rPr>
          <w:sz w:val="22"/>
          <w:szCs w:val="22"/>
        </w:rPr>
        <w:t>d</w:t>
      </w:r>
      <w:r w:rsidR="00673B70">
        <w:rPr>
          <w:sz w:val="22"/>
          <w:szCs w:val="22"/>
        </w:rPr>
        <w:t xml:space="preserve"> </w:t>
      </w:r>
      <w:r w:rsidR="000E01F4">
        <w:rPr>
          <w:sz w:val="22"/>
          <w:szCs w:val="22"/>
        </w:rPr>
        <w:t>recommends</w:t>
      </w:r>
      <w:r w:rsidR="00673B70">
        <w:rPr>
          <w:sz w:val="22"/>
          <w:szCs w:val="22"/>
        </w:rPr>
        <w:t xml:space="preserve"> that</w:t>
      </w:r>
      <w:r w:rsidR="00673B70" w:rsidRPr="00673B70">
        <w:rPr>
          <w:sz w:val="22"/>
          <w:szCs w:val="22"/>
        </w:rPr>
        <w:t xml:space="preserve"> is important that</w:t>
      </w:r>
      <w:r w:rsidR="00673B70">
        <w:rPr>
          <w:sz w:val="22"/>
          <w:szCs w:val="22"/>
        </w:rPr>
        <w:t xml:space="preserve"> new standards for Multi-Gigabit Wireless Systems (MGWS) operating in frequencies around 60 GHz </w:t>
      </w:r>
      <w:r w:rsidR="00673B70" w:rsidRPr="00673B70">
        <w:rPr>
          <w:sz w:val="22"/>
          <w:szCs w:val="22"/>
        </w:rPr>
        <w:t>employ the same channelization in order to promote better coexistence</w:t>
      </w:r>
      <w:r w:rsidR="00673B70">
        <w:rPr>
          <w:sz w:val="22"/>
          <w:szCs w:val="22"/>
        </w:rPr>
        <w:t>.</w:t>
      </w:r>
    </w:p>
    <w:p w14:paraId="22F1A366" w14:textId="77777777" w:rsidR="00085500" w:rsidRDefault="00085500" w:rsidP="00085500">
      <w:pPr>
        <w:jc w:val="both"/>
        <w:rPr>
          <w:sz w:val="22"/>
          <w:szCs w:val="22"/>
        </w:rPr>
      </w:pPr>
    </w:p>
    <w:p w14:paraId="4A0C8351" w14:textId="77777777" w:rsidR="001207E3" w:rsidRDefault="0014015E" w:rsidP="00085500">
      <w:pPr>
        <w:jc w:val="both"/>
        <w:rPr>
          <w:sz w:val="22"/>
          <w:szCs w:val="22"/>
        </w:rPr>
      </w:pPr>
      <w:r>
        <w:rPr>
          <w:sz w:val="22"/>
          <w:szCs w:val="22"/>
        </w:rPr>
        <w:t xml:space="preserve">NR operating between 52.6 GHz and 71 GHz </w:t>
      </w:r>
      <w:r w:rsidR="001207E3">
        <w:rPr>
          <w:sz w:val="22"/>
          <w:szCs w:val="22"/>
        </w:rPr>
        <w:t>then has two choices:</w:t>
      </w:r>
    </w:p>
    <w:p w14:paraId="44FB2C1F" w14:textId="77777777" w:rsidR="001207E3" w:rsidRDefault="001207E3" w:rsidP="00085500">
      <w:pPr>
        <w:jc w:val="both"/>
        <w:rPr>
          <w:sz w:val="22"/>
          <w:szCs w:val="22"/>
        </w:rPr>
      </w:pPr>
    </w:p>
    <w:p w14:paraId="618A9592" w14:textId="09ABC00A" w:rsidR="001207E3" w:rsidRPr="00B826ED" w:rsidRDefault="001207E3" w:rsidP="00B826ED">
      <w:pPr>
        <w:pStyle w:val="ListParagraph"/>
        <w:numPr>
          <w:ilvl w:val="0"/>
          <w:numId w:val="46"/>
        </w:numPr>
        <w:ind w:leftChars="0"/>
        <w:jc w:val="both"/>
        <w:rPr>
          <w:sz w:val="22"/>
          <w:szCs w:val="22"/>
        </w:rPr>
      </w:pPr>
      <w:r w:rsidRPr="00B826ED">
        <w:rPr>
          <w:sz w:val="22"/>
          <w:szCs w:val="22"/>
        </w:rPr>
        <w:t xml:space="preserve">Option 1: RAN1 </w:t>
      </w:r>
      <w:r w:rsidR="0014015E" w:rsidRPr="00B826ED">
        <w:rPr>
          <w:sz w:val="22"/>
          <w:szCs w:val="22"/>
        </w:rPr>
        <w:t>selects a</w:t>
      </w:r>
      <w:r w:rsidRPr="00B826ED">
        <w:rPr>
          <w:sz w:val="22"/>
          <w:szCs w:val="22"/>
        </w:rPr>
        <w:t xml:space="preserve">n operating </w:t>
      </w:r>
      <w:r w:rsidR="0014015E" w:rsidRPr="00B826ED">
        <w:rPr>
          <w:sz w:val="22"/>
          <w:szCs w:val="22"/>
        </w:rPr>
        <w:t xml:space="preserve">channel bandwidth </w:t>
      </w:r>
      <w:r w:rsidRPr="00B826ED">
        <w:rPr>
          <w:sz w:val="22"/>
          <w:szCs w:val="22"/>
        </w:rPr>
        <w:t>of</w:t>
      </w:r>
      <w:r w:rsidR="0014015E" w:rsidRPr="00B826ED">
        <w:rPr>
          <w:sz w:val="22"/>
          <w:szCs w:val="22"/>
        </w:rPr>
        <w:t xml:space="preserve"> 2.16 GHz</w:t>
      </w:r>
    </w:p>
    <w:p w14:paraId="3E8D3A63" w14:textId="63712EB8" w:rsidR="001207E3" w:rsidRDefault="001207E3" w:rsidP="00B826ED">
      <w:pPr>
        <w:pStyle w:val="ListParagraph"/>
        <w:numPr>
          <w:ilvl w:val="0"/>
          <w:numId w:val="46"/>
        </w:numPr>
        <w:ind w:leftChars="0"/>
        <w:jc w:val="both"/>
        <w:rPr>
          <w:sz w:val="22"/>
          <w:szCs w:val="22"/>
        </w:rPr>
      </w:pPr>
      <w:r w:rsidRPr="00B826ED">
        <w:rPr>
          <w:sz w:val="22"/>
          <w:szCs w:val="22"/>
        </w:rPr>
        <w:t>Option 2: RAN1 selects an operating channel bandwidth less than 2.16 GHz</w:t>
      </w:r>
    </w:p>
    <w:p w14:paraId="081A36FE" w14:textId="77777777" w:rsidR="007977DB" w:rsidRPr="00B826ED" w:rsidRDefault="007977DB" w:rsidP="00877EEF">
      <w:pPr>
        <w:pStyle w:val="ListParagraph"/>
        <w:ind w:leftChars="0" w:left="360" w:firstLine="0"/>
        <w:jc w:val="both"/>
        <w:rPr>
          <w:sz w:val="22"/>
          <w:szCs w:val="22"/>
        </w:rPr>
      </w:pPr>
    </w:p>
    <w:p w14:paraId="552C310B" w14:textId="244E1B11" w:rsidR="0014015E" w:rsidRDefault="007977DB" w:rsidP="00085500">
      <w:pPr>
        <w:jc w:val="both"/>
        <w:rPr>
          <w:sz w:val="22"/>
          <w:szCs w:val="22"/>
        </w:rPr>
      </w:pPr>
      <w:r w:rsidRPr="007977DB">
        <w:rPr>
          <w:sz w:val="22"/>
          <w:szCs w:val="22"/>
        </w:rPr>
        <w:t>In the case that RAN1 selects an operating channel bandwidth of 2.16 GHz</w:t>
      </w:r>
      <w:r w:rsidR="001207E3">
        <w:rPr>
          <w:sz w:val="22"/>
          <w:szCs w:val="22"/>
        </w:rPr>
        <w:t>, w</w:t>
      </w:r>
      <w:r w:rsidR="00BA699F">
        <w:rPr>
          <w:sz w:val="22"/>
          <w:szCs w:val="22"/>
        </w:rPr>
        <w:t xml:space="preserve">e may need to clarify if the following </w:t>
      </w:r>
      <w:r w:rsidR="0014015E">
        <w:rPr>
          <w:sz w:val="22"/>
          <w:szCs w:val="22"/>
        </w:rPr>
        <w:t xml:space="preserve">two scenarios </w:t>
      </w:r>
      <w:r w:rsidR="00BA699F">
        <w:rPr>
          <w:sz w:val="22"/>
          <w:szCs w:val="22"/>
        </w:rPr>
        <w:t xml:space="preserve">are supportable: </w:t>
      </w:r>
    </w:p>
    <w:p w14:paraId="4417BA32" w14:textId="393A8A05" w:rsidR="0014015E" w:rsidRDefault="0014015E" w:rsidP="0014015E">
      <w:pPr>
        <w:pStyle w:val="ListParagraph"/>
        <w:numPr>
          <w:ilvl w:val="0"/>
          <w:numId w:val="45"/>
        </w:numPr>
        <w:ind w:leftChars="0"/>
        <w:jc w:val="both"/>
        <w:rPr>
          <w:sz w:val="22"/>
          <w:szCs w:val="22"/>
        </w:rPr>
      </w:pPr>
      <w:r>
        <w:rPr>
          <w:sz w:val="22"/>
          <w:szCs w:val="22"/>
        </w:rPr>
        <w:t>T</w:t>
      </w:r>
      <w:r w:rsidR="001572A4" w:rsidRPr="0014015E">
        <w:rPr>
          <w:sz w:val="22"/>
          <w:szCs w:val="22"/>
        </w:rPr>
        <w:t xml:space="preserve">here are UEs with </w:t>
      </w:r>
      <w:r w:rsidR="00B826ED">
        <w:rPr>
          <w:sz w:val="22"/>
          <w:szCs w:val="22"/>
        </w:rPr>
        <w:t>operating bandwidths</w:t>
      </w:r>
      <w:r w:rsidR="001572A4" w:rsidRPr="0014015E">
        <w:rPr>
          <w:sz w:val="22"/>
          <w:szCs w:val="22"/>
        </w:rPr>
        <w:t xml:space="preserve"> that do not cover </w:t>
      </w:r>
      <w:r w:rsidR="00B826ED">
        <w:rPr>
          <w:sz w:val="22"/>
          <w:szCs w:val="22"/>
        </w:rPr>
        <w:t xml:space="preserve">the entire </w:t>
      </w:r>
      <w:r w:rsidR="001207E3">
        <w:rPr>
          <w:sz w:val="22"/>
          <w:szCs w:val="22"/>
        </w:rPr>
        <w:t>2.16 GHz</w:t>
      </w:r>
      <w:r w:rsidR="00EF1E3D" w:rsidRPr="0014015E">
        <w:rPr>
          <w:sz w:val="22"/>
          <w:szCs w:val="22"/>
        </w:rPr>
        <w:t xml:space="preserve"> </w:t>
      </w:r>
      <w:r w:rsidR="00B826ED">
        <w:rPr>
          <w:sz w:val="22"/>
          <w:szCs w:val="22"/>
        </w:rPr>
        <w:t>e.g. based on limited RF modules.</w:t>
      </w:r>
    </w:p>
    <w:p w14:paraId="05930294" w14:textId="4CED7320" w:rsidR="0014015E" w:rsidRDefault="0014015E" w:rsidP="0014015E">
      <w:pPr>
        <w:pStyle w:val="ListParagraph"/>
        <w:numPr>
          <w:ilvl w:val="0"/>
          <w:numId w:val="45"/>
        </w:numPr>
        <w:ind w:leftChars="0"/>
        <w:jc w:val="both"/>
        <w:rPr>
          <w:sz w:val="22"/>
          <w:szCs w:val="22"/>
        </w:rPr>
      </w:pPr>
      <w:r>
        <w:rPr>
          <w:sz w:val="22"/>
          <w:szCs w:val="22"/>
        </w:rPr>
        <w:t xml:space="preserve">There are UEs </w:t>
      </w:r>
      <w:r w:rsidR="00EF1E3D" w:rsidRPr="0014015E">
        <w:rPr>
          <w:sz w:val="22"/>
          <w:szCs w:val="22"/>
        </w:rPr>
        <w:t>that use carrier aggregation</w:t>
      </w:r>
      <w:r w:rsidR="004578FD" w:rsidRPr="0014015E">
        <w:rPr>
          <w:sz w:val="22"/>
          <w:szCs w:val="22"/>
        </w:rPr>
        <w:t xml:space="preserve"> and have multiple component carriers (with possibly separate RF modules) spanning the </w:t>
      </w:r>
      <w:r w:rsidR="001207E3">
        <w:rPr>
          <w:sz w:val="22"/>
          <w:szCs w:val="22"/>
        </w:rPr>
        <w:t>2.16 GHz</w:t>
      </w:r>
      <w:r w:rsidR="001572A4" w:rsidRPr="0014015E">
        <w:rPr>
          <w:sz w:val="22"/>
          <w:szCs w:val="22"/>
        </w:rPr>
        <w:t xml:space="preserve">. </w:t>
      </w:r>
    </w:p>
    <w:p w14:paraId="6D29B84F" w14:textId="77777777" w:rsidR="00B826ED" w:rsidRDefault="00B826ED" w:rsidP="00B826ED">
      <w:pPr>
        <w:jc w:val="both"/>
        <w:rPr>
          <w:sz w:val="22"/>
          <w:szCs w:val="22"/>
        </w:rPr>
      </w:pPr>
    </w:p>
    <w:p w14:paraId="4C6679E0" w14:textId="04B07A75" w:rsidR="00B826ED" w:rsidRDefault="007977DB" w:rsidP="00B826ED">
      <w:pPr>
        <w:jc w:val="both"/>
        <w:rPr>
          <w:sz w:val="22"/>
          <w:szCs w:val="22"/>
        </w:rPr>
      </w:pPr>
      <w:r w:rsidRPr="007977DB">
        <w:rPr>
          <w:sz w:val="22"/>
          <w:szCs w:val="22"/>
        </w:rPr>
        <w:t>In the case that RAN1 selects an operating channel bandwidth less than 2.16 GHz</w:t>
      </w:r>
      <w:r>
        <w:rPr>
          <w:sz w:val="22"/>
          <w:szCs w:val="22"/>
        </w:rPr>
        <w:t xml:space="preserve"> </w:t>
      </w:r>
      <w:r w:rsidR="00B826ED">
        <w:rPr>
          <w:sz w:val="22"/>
          <w:szCs w:val="22"/>
        </w:rPr>
        <w:t>we may need to clarify how to perform LBT and coexist with the existing RATs.</w:t>
      </w:r>
    </w:p>
    <w:p w14:paraId="76DDA574" w14:textId="77777777" w:rsidR="001207E3" w:rsidRDefault="001207E3" w:rsidP="0014015E">
      <w:pPr>
        <w:jc w:val="both"/>
        <w:rPr>
          <w:sz w:val="22"/>
          <w:szCs w:val="22"/>
        </w:rPr>
      </w:pPr>
    </w:p>
    <w:p w14:paraId="5406B741" w14:textId="24939BE3" w:rsidR="002C0AB0" w:rsidRDefault="00B826ED" w:rsidP="0014015E">
      <w:pPr>
        <w:jc w:val="both"/>
        <w:rPr>
          <w:sz w:val="22"/>
          <w:szCs w:val="22"/>
        </w:rPr>
      </w:pPr>
      <w:r>
        <w:rPr>
          <w:sz w:val="22"/>
          <w:szCs w:val="22"/>
        </w:rPr>
        <w:t>In summary</w:t>
      </w:r>
      <w:r w:rsidR="001572A4" w:rsidRPr="0014015E">
        <w:rPr>
          <w:sz w:val="22"/>
          <w:szCs w:val="22"/>
        </w:rPr>
        <w:t>, unlike NR</w:t>
      </w:r>
      <w:r w:rsidR="0014015E">
        <w:rPr>
          <w:sz w:val="22"/>
          <w:szCs w:val="22"/>
        </w:rPr>
        <w:t xml:space="preserve">-U in the 5 GHz bandwidth </w:t>
      </w:r>
      <w:r w:rsidR="001572A4" w:rsidRPr="0014015E">
        <w:rPr>
          <w:sz w:val="22"/>
          <w:szCs w:val="22"/>
        </w:rPr>
        <w:t xml:space="preserve">where the </w:t>
      </w:r>
      <w:r w:rsidR="0014015E">
        <w:rPr>
          <w:sz w:val="22"/>
          <w:szCs w:val="22"/>
        </w:rPr>
        <w:t>operating</w:t>
      </w:r>
      <w:r w:rsidR="001572A4" w:rsidRPr="0014015E">
        <w:rPr>
          <w:sz w:val="22"/>
          <w:szCs w:val="22"/>
        </w:rPr>
        <w:t xml:space="preserve"> bandwidth </w:t>
      </w:r>
      <w:r>
        <w:rPr>
          <w:sz w:val="22"/>
          <w:szCs w:val="22"/>
        </w:rPr>
        <w:t xml:space="preserve">is </w:t>
      </w:r>
      <w:r w:rsidR="0014015E">
        <w:rPr>
          <w:sz w:val="22"/>
          <w:szCs w:val="22"/>
        </w:rPr>
        <w:t xml:space="preserve">explicitly defined as </w:t>
      </w:r>
      <w:r w:rsidR="001572A4" w:rsidRPr="0014015E">
        <w:rPr>
          <w:sz w:val="22"/>
          <w:szCs w:val="22"/>
        </w:rPr>
        <w:t xml:space="preserve">equal to 20 MHz, </w:t>
      </w:r>
      <w:r w:rsidR="0014015E">
        <w:rPr>
          <w:sz w:val="22"/>
          <w:szCs w:val="22"/>
        </w:rPr>
        <w:t>unlicensed access in the 60 GHz range</w:t>
      </w:r>
      <w:r>
        <w:rPr>
          <w:sz w:val="22"/>
          <w:szCs w:val="22"/>
        </w:rPr>
        <w:t xml:space="preserve"> </w:t>
      </w:r>
      <w:r w:rsidR="004578FD" w:rsidRPr="0014015E">
        <w:rPr>
          <w:sz w:val="22"/>
          <w:szCs w:val="22"/>
        </w:rPr>
        <w:t xml:space="preserve">may </w:t>
      </w:r>
      <w:r w:rsidR="00EF1E3D" w:rsidRPr="0014015E">
        <w:rPr>
          <w:sz w:val="22"/>
          <w:szCs w:val="22"/>
        </w:rPr>
        <w:t xml:space="preserve">require innovative LBT measurement </w:t>
      </w:r>
      <w:r w:rsidR="001207E3">
        <w:rPr>
          <w:sz w:val="22"/>
          <w:szCs w:val="22"/>
        </w:rPr>
        <w:t>procedures</w:t>
      </w:r>
      <w:r w:rsidR="00EF1E3D" w:rsidRPr="0014015E">
        <w:rPr>
          <w:sz w:val="22"/>
          <w:szCs w:val="22"/>
        </w:rPr>
        <w:t xml:space="preserve"> to ensure that </w:t>
      </w:r>
      <w:r w:rsidR="001207E3">
        <w:rPr>
          <w:sz w:val="22"/>
          <w:szCs w:val="22"/>
        </w:rPr>
        <w:t>existing</w:t>
      </w:r>
      <w:r w:rsidR="0014015E">
        <w:rPr>
          <w:sz w:val="22"/>
          <w:szCs w:val="22"/>
        </w:rPr>
        <w:t xml:space="preserve"> RATs are protected</w:t>
      </w:r>
      <w:r>
        <w:rPr>
          <w:sz w:val="22"/>
          <w:szCs w:val="22"/>
        </w:rPr>
        <w:t xml:space="preserve"> as the regulations do not explicitly mandate a value for the operating bandwidth.</w:t>
      </w:r>
    </w:p>
    <w:p w14:paraId="448F1ABC" w14:textId="77777777" w:rsidR="002C0AB0" w:rsidRPr="002758D3" w:rsidRDefault="002C0AB0" w:rsidP="001572A4">
      <w:pPr>
        <w:rPr>
          <w:sz w:val="22"/>
          <w:szCs w:val="22"/>
        </w:rPr>
      </w:pPr>
    </w:p>
    <w:p w14:paraId="1F7544C2" w14:textId="2E5F0624" w:rsidR="00EF1E3D" w:rsidRDefault="00EF1E3D" w:rsidP="00EF1E3D">
      <w:pPr>
        <w:jc w:val="both"/>
        <w:rPr>
          <w:i/>
          <w:iCs/>
          <w:sz w:val="22"/>
          <w:szCs w:val="22"/>
        </w:rPr>
      </w:pPr>
      <w:r w:rsidRPr="002758D3">
        <w:rPr>
          <w:b/>
          <w:bCs/>
          <w:i/>
          <w:iCs/>
          <w:sz w:val="22"/>
          <w:szCs w:val="22"/>
        </w:rPr>
        <w:t xml:space="preserve">Observation </w:t>
      </w:r>
      <w:r w:rsidR="0001724A">
        <w:rPr>
          <w:b/>
          <w:bCs/>
          <w:i/>
          <w:iCs/>
          <w:sz w:val="22"/>
          <w:szCs w:val="22"/>
        </w:rPr>
        <w:t>4</w:t>
      </w:r>
      <w:r w:rsidRPr="002758D3">
        <w:rPr>
          <w:b/>
          <w:bCs/>
          <w:i/>
          <w:iCs/>
          <w:sz w:val="22"/>
          <w:szCs w:val="22"/>
        </w:rPr>
        <w:t>:</w:t>
      </w:r>
      <w:r w:rsidRPr="002758D3">
        <w:rPr>
          <w:i/>
          <w:iCs/>
          <w:sz w:val="22"/>
          <w:szCs w:val="22"/>
        </w:rPr>
        <w:t xml:space="preserve"> Unlicensed access for NR </w:t>
      </w:r>
      <w:r w:rsidR="00B826ED">
        <w:rPr>
          <w:i/>
          <w:iCs/>
          <w:sz w:val="22"/>
          <w:szCs w:val="22"/>
        </w:rPr>
        <w:t>operating between</w:t>
      </w:r>
      <w:r w:rsidRPr="002758D3">
        <w:rPr>
          <w:i/>
          <w:iCs/>
          <w:sz w:val="22"/>
          <w:szCs w:val="22"/>
        </w:rPr>
        <w:t xml:space="preserve"> 52.6 GHz </w:t>
      </w:r>
      <w:r w:rsidR="00B826ED">
        <w:rPr>
          <w:i/>
          <w:iCs/>
          <w:sz w:val="22"/>
          <w:szCs w:val="22"/>
        </w:rPr>
        <w:t xml:space="preserve">and 71 GHz </w:t>
      </w:r>
      <w:r w:rsidRPr="002758D3">
        <w:rPr>
          <w:i/>
          <w:iCs/>
          <w:sz w:val="22"/>
          <w:szCs w:val="22"/>
        </w:rPr>
        <w:t>in the unlicensed band will have to co-exist with</w:t>
      </w:r>
      <w:r w:rsidR="0014015E">
        <w:rPr>
          <w:i/>
          <w:iCs/>
          <w:sz w:val="22"/>
          <w:szCs w:val="22"/>
        </w:rPr>
        <w:t xml:space="preserve"> </w:t>
      </w:r>
      <w:r w:rsidR="007977DB">
        <w:rPr>
          <w:i/>
          <w:iCs/>
          <w:sz w:val="22"/>
          <w:szCs w:val="22"/>
        </w:rPr>
        <w:t>existing</w:t>
      </w:r>
      <w:r w:rsidR="0014015E">
        <w:rPr>
          <w:i/>
          <w:iCs/>
          <w:sz w:val="22"/>
          <w:szCs w:val="22"/>
        </w:rPr>
        <w:t xml:space="preserve"> RATs such as IEEE</w:t>
      </w:r>
      <w:r w:rsidRPr="002758D3">
        <w:rPr>
          <w:i/>
          <w:iCs/>
          <w:sz w:val="22"/>
          <w:szCs w:val="22"/>
        </w:rPr>
        <w:t xml:space="preserve"> 802.11ad and </w:t>
      </w:r>
      <w:r w:rsidR="0014015E">
        <w:rPr>
          <w:i/>
          <w:iCs/>
          <w:sz w:val="22"/>
          <w:szCs w:val="22"/>
        </w:rPr>
        <w:t xml:space="preserve">IEEE </w:t>
      </w:r>
      <w:r w:rsidRPr="002758D3">
        <w:rPr>
          <w:i/>
          <w:iCs/>
          <w:sz w:val="22"/>
          <w:szCs w:val="22"/>
        </w:rPr>
        <w:t>802.11ay</w:t>
      </w:r>
      <w:r w:rsidR="0014015E">
        <w:rPr>
          <w:i/>
          <w:iCs/>
          <w:sz w:val="22"/>
          <w:szCs w:val="22"/>
        </w:rPr>
        <w:t xml:space="preserve"> that require an operating bandwidth of 2.16 GHz. </w:t>
      </w:r>
    </w:p>
    <w:p w14:paraId="1706E392" w14:textId="77777777" w:rsidR="002758D3" w:rsidRPr="002758D3" w:rsidRDefault="002758D3" w:rsidP="00EF1E3D">
      <w:pPr>
        <w:jc w:val="both"/>
        <w:rPr>
          <w:i/>
          <w:iCs/>
          <w:sz w:val="22"/>
          <w:szCs w:val="22"/>
        </w:rPr>
      </w:pPr>
    </w:p>
    <w:p w14:paraId="70DB91A1" w14:textId="0E7B5638" w:rsidR="00EF1E3D" w:rsidRPr="002758D3" w:rsidRDefault="00EF1E3D" w:rsidP="00EF1E3D">
      <w:pPr>
        <w:jc w:val="both"/>
        <w:rPr>
          <w:i/>
          <w:iCs/>
          <w:sz w:val="22"/>
          <w:szCs w:val="22"/>
        </w:rPr>
      </w:pPr>
      <w:r w:rsidRPr="002758D3">
        <w:rPr>
          <w:b/>
          <w:bCs/>
          <w:i/>
          <w:iCs/>
          <w:sz w:val="22"/>
          <w:szCs w:val="22"/>
        </w:rPr>
        <w:t>P</w:t>
      </w:r>
      <w:r w:rsidR="002758D3" w:rsidRPr="002758D3">
        <w:rPr>
          <w:b/>
          <w:bCs/>
          <w:i/>
          <w:iCs/>
          <w:sz w:val="22"/>
          <w:szCs w:val="22"/>
        </w:rPr>
        <w:t xml:space="preserve">roposal </w:t>
      </w:r>
      <w:r w:rsidR="00F90A07">
        <w:rPr>
          <w:b/>
          <w:bCs/>
          <w:i/>
          <w:iCs/>
          <w:sz w:val="22"/>
          <w:szCs w:val="22"/>
        </w:rPr>
        <w:t>5</w:t>
      </w:r>
      <w:r w:rsidRPr="002758D3">
        <w:rPr>
          <w:b/>
          <w:bCs/>
          <w:i/>
          <w:iCs/>
          <w:sz w:val="22"/>
          <w:szCs w:val="22"/>
        </w:rPr>
        <w:t>:</w:t>
      </w:r>
      <w:r w:rsidR="00B826ED">
        <w:rPr>
          <w:b/>
          <w:bCs/>
          <w:i/>
          <w:iCs/>
          <w:sz w:val="22"/>
          <w:szCs w:val="22"/>
        </w:rPr>
        <w:t xml:space="preserve">  </w:t>
      </w:r>
      <w:r w:rsidR="00B826ED" w:rsidRPr="00B826ED">
        <w:rPr>
          <w:i/>
          <w:iCs/>
          <w:sz w:val="22"/>
          <w:szCs w:val="22"/>
        </w:rPr>
        <w:t xml:space="preserve">RAN 1 </w:t>
      </w:r>
      <w:r w:rsidR="00C27AE7">
        <w:rPr>
          <w:i/>
          <w:iCs/>
          <w:sz w:val="22"/>
          <w:szCs w:val="22"/>
        </w:rPr>
        <w:t>can</w:t>
      </w:r>
      <w:r w:rsidR="00C27AE7" w:rsidRPr="00B826ED">
        <w:rPr>
          <w:i/>
          <w:iCs/>
          <w:sz w:val="22"/>
          <w:szCs w:val="22"/>
        </w:rPr>
        <w:t xml:space="preserve"> </w:t>
      </w:r>
      <w:r w:rsidR="00B826ED" w:rsidRPr="00B826ED">
        <w:rPr>
          <w:i/>
          <w:iCs/>
          <w:sz w:val="22"/>
          <w:szCs w:val="22"/>
        </w:rPr>
        <w:t>s</w:t>
      </w:r>
      <w:r w:rsidRPr="00B826ED">
        <w:rPr>
          <w:i/>
          <w:iCs/>
          <w:sz w:val="22"/>
          <w:szCs w:val="22"/>
        </w:rPr>
        <w:t>tudy</w:t>
      </w:r>
      <w:r w:rsidRPr="002758D3">
        <w:rPr>
          <w:i/>
          <w:iCs/>
          <w:sz w:val="22"/>
          <w:szCs w:val="22"/>
        </w:rPr>
        <w:t xml:space="preserve"> channel access mechanisms in the unlicensed band assuming a </w:t>
      </w:r>
      <w:r w:rsidR="00B826ED">
        <w:rPr>
          <w:i/>
          <w:iCs/>
          <w:sz w:val="22"/>
          <w:szCs w:val="22"/>
        </w:rPr>
        <w:t xml:space="preserve">need to perform LBT on a </w:t>
      </w:r>
      <w:r w:rsidRPr="002758D3">
        <w:rPr>
          <w:i/>
          <w:iCs/>
          <w:sz w:val="22"/>
          <w:szCs w:val="22"/>
        </w:rPr>
        <w:t xml:space="preserve">bandwidth </w:t>
      </w:r>
      <w:r w:rsidR="00C27AE7">
        <w:rPr>
          <w:i/>
          <w:iCs/>
          <w:sz w:val="22"/>
          <w:szCs w:val="22"/>
        </w:rPr>
        <w:t>greater than the operating bandwidth</w:t>
      </w:r>
      <w:r w:rsidRPr="002758D3">
        <w:rPr>
          <w:i/>
          <w:iCs/>
          <w:sz w:val="22"/>
          <w:szCs w:val="22"/>
        </w:rPr>
        <w:t>.</w:t>
      </w:r>
    </w:p>
    <w:p w14:paraId="13BD0995" w14:textId="77777777" w:rsidR="000F380E" w:rsidRPr="00C963BC" w:rsidRDefault="000F380E" w:rsidP="00D32078">
      <w:pPr>
        <w:rPr>
          <w:b/>
          <w:i/>
        </w:rPr>
      </w:pPr>
    </w:p>
    <w:p w14:paraId="64A1FD86" w14:textId="77777777" w:rsidR="00D32078" w:rsidRDefault="00D32078" w:rsidP="00D32078">
      <w:pPr>
        <w:pStyle w:val="Heading1"/>
      </w:pPr>
      <w:r>
        <w:lastRenderedPageBreak/>
        <w:t>Concl</w:t>
      </w:r>
      <w:r w:rsidRPr="00FB330B">
        <w:t>usions</w:t>
      </w:r>
    </w:p>
    <w:p w14:paraId="29AF35F7" w14:textId="62D5AC6D" w:rsidR="002758D3" w:rsidRPr="00B60B4F" w:rsidRDefault="00D32078" w:rsidP="00D32078">
      <w:pPr>
        <w:rPr>
          <w:sz w:val="22"/>
          <w:szCs w:val="22"/>
        </w:rPr>
      </w:pPr>
      <w:r w:rsidRPr="00B60B4F">
        <w:rPr>
          <w:sz w:val="22"/>
          <w:szCs w:val="22"/>
        </w:rPr>
        <w:t>In this contribution,</w:t>
      </w:r>
      <w:r w:rsidR="004578FD" w:rsidRPr="00B60B4F">
        <w:rPr>
          <w:sz w:val="22"/>
          <w:szCs w:val="22"/>
        </w:rPr>
        <w:t xml:space="preserve"> we have studied channel access procedures for unlicensed access in the above 52.6 GHz band and have the following observations: </w:t>
      </w:r>
    </w:p>
    <w:p w14:paraId="7DDD30F7" w14:textId="77777777" w:rsidR="002758D3" w:rsidRPr="00B60B4F" w:rsidRDefault="002758D3" w:rsidP="00D32078">
      <w:pPr>
        <w:rPr>
          <w:sz w:val="22"/>
          <w:szCs w:val="22"/>
        </w:rPr>
      </w:pPr>
    </w:p>
    <w:p w14:paraId="73DB2347" w14:textId="77777777" w:rsidR="00F90A07" w:rsidRDefault="00F90A07" w:rsidP="00F90A07">
      <w:pPr>
        <w:jc w:val="both"/>
        <w:rPr>
          <w:rFonts w:cs="Batang"/>
          <w:i/>
          <w:iCs/>
          <w:sz w:val="22"/>
          <w:szCs w:val="22"/>
          <w:lang w:val="en-GB" w:eastAsia="en-US"/>
        </w:rPr>
      </w:pPr>
      <w:r w:rsidRPr="008F2E02">
        <w:rPr>
          <w:rFonts w:cs="Batang"/>
          <w:b/>
          <w:bCs/>
          <w:i/>
          <w:iCs/>
          <w:sz w:val="22"/>
          <w:szCs w:val="22"/>
          <w:lang w:val="en-GB" w:eastAsia="en-US"/>
        </w:rPr>
        <w:t>Observation 1:</w:t>
      </w:r>
      <w:r>
        <w:rPr>
          <w:rFonts w:cs="Batang"/>
          <w:i/>
          <w:iCs/>
          <w:sz w:val="22"/>
          <w:szCs w:val="22"/>
          <w:lang w:val="en-GB" w:eastAsia="en-US"/>
        </w:rPr>
        <w:t xml:space="preserve"> LBT and associated protocols may not be required in some jurisdictions and in jurisdiction where they are required, they are not required in all scenarios.</w:t>
      </w:r>
    </w:p>
    <w:p w14:paraId="38E54DF5" w14:textId="77777777" w:rsidR="00F90A07" w:rsidRDefault="00F90A07" w:rsidP="00F90A07">
      <w:pPr>
        <w:jc w:val="both"/>
        <w:rPr>
          <w:rFonts w:cs="Batang"/>
          <w:sz w:val="22"/>
          <w:szCs w:val="22"/>
          <w:lang w:eastAsia="en-US"/>
        </w:rPr>
      </w:pPr>
    </w:p>
    <w:p w14:paraId="7AA2A2E5" w14:textId="053B0B68" w:rsidR="00F90A07" w:rsidRDefault="00F90A07" w:rsidP="00B826ED">
      <w:pPr>
        <w:jc w:val="both"/>
        <w:rPr>
          <w:i/>
          <w:iCs/>
          <w:sz w:val="22"/>
          <w:szCs w:val="22"/>
        </w:rPr>
      </w:pPr>
    </w:p>
    <w:p w14:paraId="3A30FC11" w14:textId="77777777" w:rsidR="00652435" w:rsidRDefault="00652435" w:rsidP="00652435">
      <w:pPr>
        <w:jc w:val="both"/>
        <w:rPr>
          <w:rFonts w:cs="Batang"/>
          <w:i/>
          <w:iCs/>
          <w:sz w:val="22"/>
          <w:szCs w:val="22"/>
          <w:lang w:val="en-GB" w:eastAsia="en-US"/>
        </w:rPr>
      </w:pPr>
      <w:r w:rsidRPr="002758D3">
        <w:rPr>
          <w:rFonts w:cs="Batang"/>
          <w:b/>
          <w:bCs/>
          <w:i/>
          <w:iCs/>
          <w:sz w:val="22"/>
          <w:szCs w:val="22"/>
          <w:lang w:val="en-GB" w:eastAsia="en-US"/>
        </w:rPr>
        <w:t xml:space="preserve">Observation </w:t>
      </w:r>
      <w:r>
        <w:rPr>
          <w:rFonts w:cs="Batang"/>
          <w:b/>
          <w:bCs/>
          <w:i/>
          <w:iCs/>
          <w:sz w:val="22"/>
          <w:szCs w:val="22"/>
          <w:lang w:val="en-GB" w:eastAsia="en-US"/>
        </w:rPr>
        <w:t>2</w:t>
      </w:r>
      <w:r w:rsidRPr="002758D3">
        <w:rPr>
          <w:rFonts w:cs="Batang"/>
          <w:b/>
          <w:bCs/>
          <w:i/>
          <w:iCs/>
          <w:sz w:val="22"/>
          <w:szCs w:val="22"/>
          <w:lang w:val="en-GB" w:eastAsia="en-US"/>
        </w:rPr>
        <w:t>:</w:t>
      </w:r>
      <w:r w:rsidRPr="002758D3">
        <w:rPr>
          <w:rFonts w:cs="Batang"/>
          <w:i/>
          <w:iCs/>
          <w:sz w:val="22"/>
          <w:szCs w:val="22"/>
          <w:lang w:val="en-GB" w:eastAsia="en-US"/>
        </w:rPr>
        <w:t xml:space="preserve"> The large propagation losses in the 60 GHz range mandate the need for beam-based transmission</w:t>
      </w:r>
      <w:r>
        <w:rPr>
          <w:rFonts w:cs="Batang"/>
          <w:i/>
          <w:iCs/>
          <w:sz w:val="22"/>
          <w:szCs w:val="22"/>
          <w:lang w:val="en-GB" w:eastAsia="en-US"/>
        </w:rPr>
        <w:t xml:space="preserve"> and the need for LBT schemes that account for these beams.</w:t>
      </w:r>
    </w:p>
    <w:p w14:paraId="359A8E60" w14:textId="77777777" w:rsidR="00F90A07" w:rsidRDefault="00F90A07" w:rsidP="00F90A07">
      <w:pPr>
        <w:jc w:val="both"/>
        <w:rPr>
          <w:rFonts w:cs="Batang"/>
          <w:i/>
          <w:iCs/>
          <w:sz w:val="22"/>
          <w:szCs w:val="22"/>
          <w:lang w:val="en-GB" w:eastAsia="en-US"/>
        </w:rPr>
      </w:pPr>
    </w:p>
    <w:p w14:paraId="518CF4C7" w14:textId="0AE72C66" w:rsidR="00F90A07" w:rsidRDefault="00F90A07" w:rsidP="00F90A07">
      <w:pPr>
        <w:jc w:val="both"/>
        <w:rPr>
          <w:rFonts w:cs="Batang"/>
          <w:i/>
          <w:iCs/>
          <w:sz w:val="22"/>
          <w:szCs w:val="22"/>
          <w:lang w:val="en-GB" w:eastAsia="en-US"/>
        </w:rPr>
      </w:pPr>
      <w:r w:rsidRPr="002758D3">
        <w:rPr>
          <w:rFonts w:cs="Batang"/>
          <w:b/>
          <w:bCs/>
          <w:i/>
          <w:iCs/>
          <w:sz w:val="22"/>
          <w:szCs w:val="22"/>
          <w:lang w:val="en-GB" w:eastAsia="en-US"/>
        </w:rPr>
        <w:t xml:space="preserve">Observation </w:t>
      </w:r>
      <w:r w:rsidR="0001724A">
        <w:rPr>
          <w:rFonts w:cs="Batang"/>
          <w:b/>
          <w:bCs/>
          <w:i/>
          <w:iCs/>
          <w:sz w:val="22"/>
          <w:szCs w:val="22"/>
          <w:lang w:val="en-GB" w:eastAsia="en-US"/>
        </w:rPr>
        <w:t>3</w:t>
      </w:r>
      <w:r w:rsidRPr="002758D3">
        <w:rPr>
          <w:rFonts w:cs="Batang"/>
          <w:b/>
          <w:bCs/>
          <w:i/>
          <w:iCs/>
          <w:sz w:val="22"/>
          <w:szCs w:val="22"/>
          <w:lang w:val="en-GB" w:eastAsia="en-US"/>
        </w:rPr>
        <w:t>:</w:t>
      </w:r>
      <w:r w:rsidRPr="002758D3">
        <w:rPr>
          <w:rFonts w:cs="Batang"/>
          <w:i/>
          <w:iCs/>
          <w:sz w:val="22"/>
          <w:szCs w:val="22"/>
          <w:lang w:val="en-GB" w:eastAsia="en-US"/>
        </w:rPr>
        <w:t xml:space="preserve"> The </w:t>
      </w:r>
      <w:r>
        <w:rPr>
          <w:rFonts w:cs="Batang"/>
          <w:i/>
          <w:iCs/>
          <w:sz w:val="22"/>
          <w:szCs w:val="22"/>
          <w:lang w:val="en-GB" w:eastAsia="en-US"/>
        </w:rPr>
        <w:t xml:space="preserve">possibility of an LBT measurement bandwidth that is larger than the transmission bandwidth may require a change to the basic LBT mechanism.   </w:t>
      </w:r>
    </w:p>
    <w:p w14:paraId="766E697E" w14:textId="77777777" w:rsidR="00F90A07" w:rsidRDefault="00F90A07" w:rsidP="00F90A07">
      <w:pPr>
        <w:jc w:val="both"/>
        <w:rPr>
          <w:rFonts w:cs="Batang"/>
          <w:i/>
          <w:iCs/>
          <w:sz w:val="22"/>
          <w:szCs w:val="22"/>
          <w:lang w:val="en-GB" w:eastAsia="en-US"/>
        </w:rPr>
      </w:pPr>
    </w:p>
    <w:p w14:paraId="7167B623" w14:textId="77777777" w:rsidR="00652435" w:rsidRDefault="00652435" w:rsidP="00652435">
      <w:pPr>
        <w:jc w:val="both"/>
        <w:rPr>
          <w:i/>
          <w:iCs/>
          <w:sz w:val="22"/>
          <w:szCs w:val="22"/>
        </w:rPr>
      </w:pPr>
      <w:r w:rsidRPr="002758D3">
        <w:rPr>
          <w:b/>
          <w:bCs/>
          <w:i/>
          <w:iCs/>
          <w:sz w:val="22"/>
          <w:szCs w:val="22"/>
        </w:rPr>
        <w:t xml:space="preserve">Observation </w:t>
      </w:r>
      <w:r>
        <w:rPr>
          <w:b/>
          <w:bCs/>
          <w:i/>
          <w:iCs/>
          <w:sz w:val="22"/>
          <w:szCs w:val="22"/>
        </w:rPr>
        <w:t>4</w:t>
      </w:r>
      <w:r w:rsidRPr="002758D3">
        <w:rPr>
          <w:b/>
          <w:bCs/>
          <w:i/>
          <w:iCs/>
          <w:sz w:val="22"/>
          <w:szCs w:val="22"/>
        </w:rPr>
        <w:t>:</w:t>
      </w:r>
      <w:r w:rsidRPr="002758D3">
        <w:rPr>
          <w:i/>
          <w:iCs/>
          <w:sz w:val="22"/>
          <w:szCs w:val="22"/>
        </w:rPr>
        <w:t xml:space="preserve"> Unlicensed access for NR </w:t>
      </w:r>
      <w:r>
        <w:rPr>
          <w:i/>
          <w:iCs/>
          <w:sz w:val="22"/>
          <w:szCs w:val="22"/>
        </w:rPr>
        <w:t>operating between</w:t>
      </w:r>
      <w:r w:rsidRPr="002758D3">
        <w:rPr>
          <w:i/>
          <w:iCs/>
          <w:sz w:val="22"/>
          <w:szCs w:val="22"/>
        </w:rPr>
        <w:t xml:space="preserve"> 52.6 GHz </w:t>
      </w:r>
      <w:r>
        <w:rPr>
          <w:i/>
          <w:iCs/>
          <w:sz w:val="22"/>
          <w:szCs w:val="22"/>
        </w:rPr>
        <w:t xml:space="preserve">and 71 GHz </w:t>
      </w:r>
      <w:r w:rsidRPr="002758D3">
        <w:rPr>
          <w:i/>
          <w:iCs/>
          <w:sz w:val="22"/>
          <w:szCs w:val="22"/>
        </w:rPr>
        <w:t>in the unlicensed band will have to co-exist with</w:t>
      </w:r>
      <w:r>
        <w:rPr>
          <w:i/>
          <w:iCs/>
          <w:sz w:val="22"/>
          <w:szCs w:val="22"/>
        </w:rPr>
        <w:t xml:space="preserve"> existing RATs such as IEEE</w:t>
      </w:r>
      <w:r w:rsidRPr="002758D3">
        <w:rPr>
          <w:i/>
          <w:iCs/>
          <w:sz w:val="22"/>
          <w:szCs w:val="22"/>
        </w:rPr>
        <w:t xml:space="preserve"> 802.11ad and </w:t>
      </w:r>
      <w:r>
        <w:rPr>
          <w:i/>
          <w:iCs/>
          <w:sz w:val="22"/>
          <w:szCs w:val="22"/>
        </w:rPr>
        <w:t xml:space="preserve">IEEE </w:t>
      </w:r>
      <w:r w:rsidRPr="002758D3">
        <w:rPr>
          <w:i/>
          <w:iCs/>
          <w:sz w:val="22"/>
          <w:szCs w:val="22"/>
        </w:rPr>
        <w:t>802.11ay</w:t>
      </w:r>
      <w:r>
        <w:rPr>
          <w:i/>
          <w:iCs/>
          <w:sz w:val="22"/>
          <w:szCs w:val="22"/>
        </w:rPr>
        <w:t xml:space="preserve"> that require an operating bandwidth of 2.16 GHz. </w:t>
      </w:r>
    </w:p>
    <w:p w14:paraId="0B353C1B" w14:textId="647499D4" w:rsidR="00652435" w:rsidRDefault="00652435" w:rsidP="00652435">
      <w:pPr>
        <w:jc w:val="both"/>
        <w:rPr>
          <w:rFonts w:cs="Batang"/>
          <w:b/>
          <w:bCs/>
          <w:i/>
          <w:iCs/>
          <w:sz w:val="22"/>
          <w:szCs w:val="22"/>
          <w:lang w:eastAsia="en-US"/>
        </w:rPr>
      </w:pPr>
    </w:p>
    <w:p w14:paraId="683E48FB" w14:textId="22857F8E" w:rsidR="00652435" w:rsidRPr="00652435" w:rsidRDefault="00652435" w:rsidP="00652435">
      <w:pPr>
        <w:jc w:val="both"/>
        <w:rPr>
          <w:rFonts w:cs="Batang"/>
          <w:sz w:val="22"/>
          <w:szCs w:val="22"/>
          <w:lang w:eastAsia="en-US"/>
        </w:rPr>
      </w:pPr>
      <w:r w:rsidRPr="00652435">
        <w:rPr>
          <w:rFonts w:cs="Batang"/>
          <w:sz w:val="22"/>
          <w:szCs w:val="22"/>
          <w:lang w:eastAsia="en-US"/>
        </w:rPr>
        <w:t xml:space="preserve">Based on these observations, we have the following proposals: </w:t>
      </w:r>
    </w:p>
    <w:p w14:paraId="4A742322" w14:textId="77777777" w:rsidR="00652435" w:rsidRDefault="00652435" w:rsidP="00652435">
      <w:pPr>
        <w:jc w:val="both"/>
        <w:rPr>
          <w:rFonts w:cs="Batang"/>
          <w:b/>
          <w:bCs/>
          <w:i/>
          <w:iCs/>
          <w:sz w:val="22"/>
          <w:szCs w:val="22"/>
          <w:lang w:eastAsia="en-US"/>
        </w:rPr>
      </w:pPr>
    </w:p>
    <w:p w14:paraId="24BFCBFB" w14:textId="144F8A2A" w:rsidR="00652435" w:rsidRPr="00DB340F" w:rsidRDefault="00652435" w:rsidP="00652435">
      <w:pPr>
        <w:jc w:val="both"/>
        <w:rPr>
          <w:rFonts w:cs="Batang"/>
          <w:i/>
          <w:iCs/>
          <w:sz w:val="22"/>
          <w:szCs w:val="22"/>
          <w:lang w:eastAsia="en-US"/>
        </w:rPr>
      </w:pPr>
      <w:r>
        <w:rPr>
          <w:rFonts w:cs="Batang"/>
          <w:b/>
          <w:bCs/>
          <w:i/>
          <w:iCs/>
          <w:sz w:val="22"/>
          <w:szCs w:val="22"/>
          <w:lang w:eastAsia="en-US"/>
        </w:rPr>
        <w:t>Proposal 1</w:t>
      </w:r>
      <w:r w:rsidRPr="00DB340F">
        <w:rPr>
          <w:rFonts w:cs="Batang"/>
          <w:b/>
          <w:bCs/>
          <w:i/>
          <w:iCs/>
          <w:sz w:val="22"/>
          <w:szCs w:val="22"/>
          <w:lang w:eastAsia="en-US"/>
        </w:rPr>
        <w:t>:</w:t>
      </w:r>
      <w:r w:rsidRPr="00DB340F">
        <w:rPr>
          <w:rFonts w:cs="Batang"/>
          <w:i/>
          <w:iCs/>
          <w:sz w:val="22"/>
          <w:szCs w:val="22"/>
          <w:lang w:eastAsia="en-US"/>
        </w:rPr>
        <w:t xml:space="preserve"> Both a baseline LBT and no-LBT channel access mechanisms should be adopted </w:t>
      </w:r>
      <w:r>
        <w:rPr>
          <w:rFonts w:cs="Batang"/>
          <w:i/>
          <w:iCs/>
          <w:sz w:val="22"/>
          <w:szCs w:val="22"/>
          <w:lang w:eastAsia="en-US"/>
        </w:rPr>
        <w:t>unlicensed access.</w:t>
      </w:r>
    </w:p>
    <w:p w14:paraId="6D011D25" w14:textId="77777777" w:rsidR="00652435" w:rsidRDefault="00652435" w:rsidP="00652435">
      <w:pPr>
        <w:jc w:val="both"/>
        <w:rPr>
          <w:i/>
          <w:iCs/>
          <w:sz w:val="22"/>
          <w:szCs w:val="22"/>
        </w:rPr>
      </w:pPr>
    </w:p>
    <w:p w14:paraId="5EC800C9" w14:textId="77777777" w:rsidR="00652435" w:rsidRPr="00F90A07" w:rsidRDefault="00652435" w:rsidP="00652435">
      <w:pPr>
        <w:jc w:val="both"/>
        <w:rPr>
          <w:rFonts w:cs="Batang"/>
          <w:i/>
          <w:iCs/>
          <w:sz w:val="22"/>
          <w:szCs w:val="22"/>
          <w:lang w:val="en-GB" w:eastAsia="en-US"/>
        </w:rPr>
      </w:pPr>
      <w:r w:rsidRPr="00DB340F">
        <w:rPr>
          <w:rFonts w:cs="Batang"/>
          <w:b/>
          <w:bCs/>
          <w:i/>
          <w:iCs/>
          <w:sz w:val="22"/>
          <w:szCs w:val="22"/>
          <w:lang w:val="en-GB" w:eastAsia="en-US"/>
        </w:rPr>
        <w:t>P</w:t>
      </w:r>
      <w:r>
        <w:rPr>
          <w:rFonts w:cs="Batang"/>
          <w:b/>
          <w:bCs/>
          <w:i/>
          <w:iCs/>
          <w:sz w:val="22"/>
          <w:szCs w:val="22"/>
          <w:lang w:val="en-GB" w:eastAsia="en-US"/>
        </w:rPr>
        <w:t xml:space="preserve">roposal </w:t>
      </w:r>
      <w:r w:rsidRPr="00DB340F">
        <w:rPr>
          <w:rFonts w:cs="Batang"/>
          <w:b/>
          <w:bCs/>
          <w:i/>
          <w:iCs/>
          <w:sz w:val="22"/>
          <w:szCs w:val="22"/>
          <w:lang w:val="en-GB" w:eastAsia="en-US"/>
        </w:rPr>
        <w:t>2:</w:t>
      </w:r>
      <w:r w:rsidRPr="00F90A07">
        <w:rPr>
          <w:rFonts w:cs="Batang"/>
          <w:i/>
          <w:iCs/>
          <w:sz w:val="22"/>
          <w:szCs w:val="22"/>
          <w:lang w:val="en-GB" w:eastAsia="en-US"/>
        </w:rPr>
        <w:t xml:space="preserve"> Adaptation methods between LBT-based </w:t>
      </w:r>
      <w:r>
        <w:rPr>
          <w:rFonts w:cs="Batang"/>
          <w:i/>
          <w:iCs/>
          <w:sz w:val="22"/>
          <w:szCs w:val="22"/>
          <w:lang w:val="en-GB" w:eastAsia="en-US"/>
        </w:rPr>
        <w:t>a</w:t>
      </w:r>
      <w:r w:rsidRPr="00F90A07">
        <w:rPr>
          <w:rFonts w:cs="Batang"/>
          <w:i/>
          <w:iCs/>
          <w:sz w:val="22"/>
          <w:szCs w:val="22"/>
          <w:lang w:val="en-GB" w:eastAsia="en-US"/>
        </w:rPr>
        <w:t>ccess and non-LBT based access should be studied</w:t>
      </w:r>
      <w:r>
        <w:rPr>
          <w:rFonts w:cs="Batang"/>
          <w:i/>
          <w:iCs/>
          <w:sz w:val="22"/>
          <w:szCs w:val="22"/>
          <w:lang w:val="en-GB" w:eastAsia="en-US"/>
        </w:rPr>
        <w:t>.</w:t>
      </w:r>
    </w:p>
    <w:p w14:paraId="6FC9749D" w14:textId="77777777" w:rsidR="00652435" w:rsidRDefault="00652435" w:rsidP="00615713">
      <w:pPr>
        <w:jc w:val="both"/>
        <w:rPr>
          <w:b/>
          <w:i/>
          <w:sz w:val="22"/>
          <w:szCs w:val="22"/>
        </w:rPr>
      </w:pPr>
    </w:p>
    <w:p w14:paraId="0062F500" w14:textId="767B35BC" w:rsidR="00615713" w:rsidRPr="002758D3" w:rsidRDefault="00615713" w:rsidP="00615713">
      <w:pPr>
        <w:jc w:val="both"/>
        <w:rPr>
          <w:bCs/>
          <w:i/>
          <w:sz w:val="22"/>
          <w:szCs w:val="22"/>
        </w:rPr>
      </w:pPr>
      <w:r w:rsidRPr="002758D3">
        <w:rPr>
          <w:b/>
          <w:i/>
          <w:sz w:val="22"/>
          <w:szCs w:val="22"/>
        </w:rPr>
        <w:t xml:space="preserve">Proposal </w:t>
      </w:r>
      <w:r>
        <w:rPr>
          <w:b/>
          <w:i/>
          <w:sz w:val="22"/>
          <w:szCs w:val="22"/>
        </w:rPr>
        <w:t>3</w:t>
      </w:r>
      <w:r w:rsidRPr="002758D3">
        <w:rPr>
          <w:b/>
          <w:i/>
          <w:sz w:val="22"/>
          <w:szCs w:val="22"/>
        </w:rPr>
        <w:t xml:space="preserve">: </w:t>
      </w:r>
      <w:r>
        <w:rPr>
          <w:bCs/>
          <w:i/>
          <w:sz w:val="22"/>
          <w:szCs w:val="22"/>
        </w:rPr>
        <w:t>RAN1</w:t>
      </w:r>
      <w:r w:rsidRPr="002758D3">
        <w:rPr>
          <w:bCs/>
          <w:i/>
          <w:sz w:val="22"/>
          <w:szCs w:val="22"/>
        </w:rPr>
        <w:t xml:space="preserve"> to study the effect of an RTS/CTS</w:t>
      </w:r>
      <w:r>
        <w:rPr>
          <w:bCs/>
          <w:i/>
          <w:sz w:val="22"/>
          <w:szCs w:val="22"/>
        </w:rPr>
        <w:t>-like</w:t>
      </w:r>
      <w:r w:rsidRPr="002758D3">
        <w:rPr>
          <w:bCs/>
          <w:i/>
          <w:sz w:val="22"/>
          <w:szCs w:val="22"/>
        </w:rPr>
        <w:t xml:space="preserve"> mechanism to help </w:t>
      </w:r>
      <w:r>
        <w:rPr>
          <w:bCs/>
          <w:i/>
          <w:sz w:val="22"/>
          <w:szCs w:val="22"/>
        </w:rPr>
        <w:t xml:space="preserve">in </w:t>
      </w:r>
      <w:r w:rsidRPr="002758D3">
        <w:rPr>
          <w:bCs/>
          <w:i/>
          <w:sz w:val="22"/>
          <w:szCs w:val="22"/>
        </w:rPr>
        <w:t xml:space="preserve">mitigating </w:t>
      </w:r>
      <w:r>
        <w:rPr>
          <w:bCs/>
          <w:i/>
          <w:sz w:val="22"/>
          <w:szCs w:val="22"/>
        </w:rPr>
        <w:t xml:space="preserve">directional interference or </w:t>
      </w:r>
      <w:r w:rsidRPr="002758D3">
        <w:rPr>
          <w:bCs/>
          <w:i/>
          <w:sz w:val="22"/>
          <w:szCs w:val="22"/>
        </w:rPr>
        <w:t>potential hidden node issue</w:t>
      </w:r>
      <w:r>
        <w:rPr>
          <w:bCs/>
          <w:i/>
          <w:sz w:val="22"/>
          <w:szCs w:val="22"/>
        </w:rPr>
        <w:t>s</w:t>
      </w:r>
      <w:r w:rsidRPr="002758D3">
        <w:rPr>
          <w:bCs/>
          <w:i/>
          <w:sz w:val="22"/>
          <w:szCs w:val="22"/>
        </w:rPr>
        <w:t>.</w:t>
      </w:r>
    </w:p>
    <w:p w14:paraId="6D3C2B71" w14:textId="77777777" w:rsidR="00F90A07" w:rsidRDefault="00F90A07" w:rsidP="00F90A07">
      <w:pPr>
        <w:jc w:val="both"/>
        <w:rPr>
          <w:rFonts w:cs="Batang"/>
          <w:i/>
          <w:iCs/>
          <w:sz w:val="22"/>
          <w:szCs w:val="22"/>
          <w:lang w:val="en-GB" w:eastAsia="en-US"/>
        </w:rPr>
      </w:pPr>
    </w:p>
    <w:p w14:paraId="385B7DD8" w14:textId="1D1B4FB0" w:rsidR="00F90A07" w:rsidRDefault="00F90A07" w:rsidP="00F90A07">
      <w:pPr>
        <w:rPr>
          <w:bCs/>
          <w:i/>
          <w:sz w:val="22"/>
          <w:szCs w:val="22"/>
        </w:rPr>
      </w:pPr>
      <w:r w:rsidRPr="002758D3">
        <w:rPr>
          <w:b/>
          <w:i/>
          <w:sz w:val="22"/>
          <w:szCs w:val="22"/>
        </w:rPr>
        <w:t xml:space="preserve">Proposal </w:t>
      </w:r>
      <w:r>
        <w:rPr>
          <w:b/>
          <w:i/>
          <w:sz w:val="22"/>
          <w:szCs w:val="22"/>
        </w:rPr>
        <w:t>4</w:t>
      </w:r>
      <w:r w:rsidRPr="002758D3">
        <w:rPr>
          <w:b/>
          <w:i/>
          <w:sz w:val="22"/>
          <w:szCs w:val="22"/>
        </w:rPr>
        <w:t xml:space="preserve">: </w:t>
      </w:r>
      <w:r>
        <w:rPr>
          <w:bCs/>
          <w:i/>
          <w:sz w:val="22"/>
          <w:szCs w:val="22"/>
        </w:rPr>
        <w:t>RAN1</w:t>
      </w:r>
      <w:r w:rsidRPr="002758D3">
        <w:rPr>
          <w:bCs/>
          <w:i/>
          <w:sz w:val="22"/>
          <w:szCs w:val="22"/>
        </w:rPr>
        <w:t xml:space="preserve"> to </w:t>
      </w:r>
      <w:r>
        <w:rPr>
          <w:bCs/>
          <w:i/>
          <w:sz w:val="22"/>
          <w:szCs w:val="22"/>
        </w:rPr>
        <w:t>study the use of</w:t>
      </w:r>
      <w:r w:rsidRPr="002758D3">
        <w:rPr>
          <w:bCs/>
          <w:i/>
          <w:sz w:val="22"/>
          <w:szCs w:val="22"/>
        </w:rPr>
        <w:t xml:space="preserve"> UE-assisted channel selection.</w:t>
      </w:r>
    </w:p>
    <w:p w14:paraId="6A9CBCE2" w14:textId="77777777" w:rsidR="00F90A07" w:rsidRPr="002758D3" w:rsidRDefault="00F90A07" w:rsidP="00F90A07">
      <w:pPr>
        <w:jc w:val="both"/>
        <w:rPr>
          <w:i/>
          <w:iCs/>
          <w:sz w:val="22"/>
          <w:szCs w:val="22"/>
        </w:rPr>
      </w:pPr>
    </w:p>
    <w:p w14:paraId="45313AC5" w14:textId="2E919C4F" w:rsidR="00F90A07" w:rsidRPr="002758D3" w:rsidRDefault="00F90A07" w:rsidP="00F90A07">
      <w:pPr>
        <w:jc w:val="both"/>
        <w:rPr>
          <w:i/>
          <w:iCs/>
          <w:sz w:val="22"/>
          <w:szCs w:val="22"/>
        </w:rPr>
      </w:pPr>
      <w:r w:rsidRPr="002758D3">
        <w:rPr>
          <w:b/>
          <w:bCs/>
          <w:i/>
          <w:iCs/>
          <w:sz w:val="22"/>
          <w:szCs w:val="22"/>
        </w:rPr>
        <w:t xml:space="preserve">Proposal </w:t>
      </w:r>
      <w:r>
        <w:rPr>
          <w:b/>
          <w:bCs/>
          <w:i/>
          <w:iCs/>
          <w:sz w:val="22"/>
          <w:szCs w:val="22"/>
        </w:rPr>
        <w:t>5</w:t>
      </w:r>
      <w:r w:rsidRPr="002758D3">
        <w:rPr>
          <w:b/>
          <w:bCs/>
          <w:i/>
          <w:iCs/>
          <w:sz w:val="22"/>
          <w:szCs w:val="22"/>
        </w:rPr>
        <w:t>:</w:t>
      </w:r>
      <w:r>
        <w:rPr>
          <w:b/>
          <w:bCs/>
          <w:i/>
          <w:iCs/>
          <w:sz w:val="22"/>
          <w:szCs w:val="22"/>
        </w:rPr>
        <w:t xml:space="preserve">  </w:t>
      </w:r>
      <w:r w:rsidRPr="00B826ED">
        <w:rPr>
          <w:i/>
          <w:iCs/>
          <w:sz w:val="22"/>
          <w:szCs w:val="22"/>
        </w:rPr>
        <w:t xml:space="preserve">RAN 1 </w:t>
      </w:r>
      <w:r>
        <w:rPr>
          <w:i/>
          <w:iCs/>
          <w:sz w:val="22"/>
          <w:szCs w:val="22"/>
        </w:rPr>
        <w:t>can</w:t>
      </w:r>
      <w:r w:rsidRPr="00B826ED">
        <w:rPr>
          <w:i/>
          <w:iCs/>
          <w:sz w:val="22"/>
          <w:szCs w:val="22"/>
        </w:rPr>
        <w:t xml:space="preserve"> study</w:t>
      </w:r>
      <w:r w:rsidRPr="002758D3">
        <w:rPr>
          <w:i/>
          <w:iCs/>
          <w:sz w:val="22"/>
          <w:szCs w:val="22"/>
        </w:rPr>
        <w:t xml:space="preserve"> channel access mechanisms in the unlicensed band assuming a </w:t>
      </w:r>
      <w:r>
        <w:rPr>
          <w:i/>
          <w:iCs/>
          <w:sz w:val="22"/>
          <w:szCs w:val="22"/>
        </w:rPr>
        <w:t xml:space="preserve">need to perform LBT on a </w:t>
      </w:r>
      <w:r w:rsidRPr="002758D3">
        <w:rPr>
          <w:i/>
          <w:iCs/>
          <w:sz w:val="22"/>
          <w:szCs w:val="22"/>
        </w:rPr>
        <w:t xml:space="preserve">bandwidth </w:t>
      </w:r>
      <w:r>
        <w:rPr>
          <w:i/>
          <w:iCs/>
          <w:sz w:val="22"/>
          <w:szCs w:val="22"/>
        </w:rPr>
        <w:t>greater than the operating bandwidth</w:t>
      </w:r>
      <w:r w:rsidRPr="002758D3">
        <w:rPr>
          <w:i/>
          <w:iCs/>
          <w:sz w:val="22"/>
          <w:szCs w:val="22"/>
        </w:rPr>
        <w:t>.</w:t>
      </w:r>
      <w:r>
        <w:rPr>
          <w:rFonts w:cs="Batang"/>
          <w:i/>
          <w:iCs/>
          <w:sz w:val="22"/>
          <w:szCs w:val="22"/>
          <w:lang w:val="en-GB" w:eastAsia="en-US"/>
        </w:rPr>
        <w:t xml:space="preserve">                              </w:t>
      </w:r>
    </w:p>
    <w:p w14:paraId="2A5BA4DC" w14:textId="6DB80A0A" w:rsidR="002134C9" w:rsidRPr="008134DE" w:rsidRDefault="002134C9" w:rsidP="008134DE">
      <w:pPr>
        <w:pStyle w:val="Heading1"/>
      </w:pPr>
      <w:r w:rsidRPr="008134DE">
        <w:t>Reference</w:t>
      </w:r>
    </w:p>
    <w:p w14:paraId="18A4F591" w14:textId="77777777" w:rsidR="008F2E02" w:rsidRPr="00B60B4F" w:rsidRDefault="008F2E02" w:rsidP="008F2E02">
      <w:pPr>
        <w:numPr>
          <w:ilvl w:val="0"/>
          <w:numId w:val="22"/>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40195455"/>
      <w:r w:rsidRPr="00B60B4F">
        <w:rPr>
          <w:bCs/>
          <w:sz w:val="22"/>
          <w:szCs w:val="22"/>
          <w:lang w:val="en-GB"/>
        </w:rPr>
        <w:t>3GPP 38.807, Technical Specification Group Radio Access Network; Study on requirements for NR beyond 52.6 GHz (Release 16)</w:t>
      </w:r>
      <w:bookmarkEnd w:id="3"/>
    </w:p>
    <w:p w14:paraId="0B6D7752" w14:textId="1993E170" w:rsidR="008F2E02" w:rsidRDefault="008F2E02" w:rsidP="008F2E02">
      <w:pPr>
        <w:numPr>
          <w:ilvl w:val="0"/>
          <w:numId w:val="22"/>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40195690"/>
      <w:r w:rsidRPr="00B60B4F">
        <w:rPr>
          <w:bCs/>
          <w:sz w:val="22"/>
          <w:szCs w:val="22"/>
          <w:lang w:val="en-GB"/>
        </w:rPr>
        <w:t>RP-193259, New SID: Study on supporting NR from 52.6GHz to 71 GHz</w:t>
      </w:r>
      <w:bookmarkEnd w:id="4"/>
      <w:r w:rsidR="0011783E">
        <w:rPr>
          <w:bCs/>
          <w:sz w:val="22"/>
          <w:szCs w:val="22"/>
          <w:lang w:val="en-GB"/>
        </w:rPr>
        <w:t>, RAN #86</w:t>
      </w:r>
    </w:p>
    <w:p w14:paraId="4E298D70" w14:textId="33DC1390" w:rsidR="0011783E" w:rsidRPr="00B60B4F" w:rsidRDefault="0011783E" w:rsidP="008F2E02">
      <w:pPr>
        <w:numPr>
          <w:ilvl w:val="0"/>
          <w:numId w:val="22"/>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47610377"/>
      <w:r>
        <w:rPr>
          <w:bCs/>
          <w:sz w:val="22"/>
          <w:szCs w:val="22"/>
          <w:lang w:val="en-GB"/>
        </w:rPr>
        <w:t xml:space="preserve">RP-200902, </w:t>
      </w:r>
      <w:r w:rsidRPr="0011783E">
        <w:rPr>
          <w:bCs/>
          <w:sz w:val="22"/>
          <w:szCs w:val="22"/>
          <w:lang w:val="en-GB"/>
        </w:rPr>
        <w:t>Revised SID: Study on supporting NR from 52.6GHz to 71 GHz</w:t>
      </w:r>
      <w:r>
        <w:rPr>
          <w:bCs/>
          <w:sz w:val="22"/>
          <w:szCs w:val="22"/>
          <w:lang w:val="en-GB"/>
        </w:rPr>
        <w:t>, RAN #88e</w:t>
      </w:r>
      <w:bookmarkEnd w:id="5"/>
    </w:p>
    <w:p w14:paraId="57EEA1AA" w14:textId="77777777" w:rsidR="00034C09" w:rsidRPr="00034C09" w:rsidRDefault="00034C09" w:rsidP="00034C09">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6" w:name="_Ref47613100"/>
      <w:bookmarkStart w:id="7" w:name="_Ref40392390"/>
      <w:r>
        <w:rPr>
          <w:sz w:val="22"/>
          <w:szCs w:val="22"/>
          <w:lang w:val="en-GB"/>
        </w:rPr>
        <w:t xml:space="preserve">R4-2009945, </w:t>
      </w:r>
      <w:r w:rsidRPr="005E4239">
        <w:rPr>
          <w:sz w:val="22"/>
          <w:szCs w:val="22"/>
          <w:lang w:val="en-GB"/>
        </w:rPr>
        <w:t>Initial considerations on the numerology and channel bandwidth sizes for 60GHz frequency range</w:t>
      </w:r>
      <w:r>
        <w:rPr>
          <w:sz w:val="22"/>
          <w:szCs w:val="22"/>
          <w:lang w:val="en-GB"/>
        </w:rPr>
        <w:t>. Apple</w:t>
      </w:r>
      <w:bookmarkEnd w:id="6"/>
    </w:p>
    <w:p w14:paraId="7E3F5FC7" w14:textId="77777777" w:rsidR="00085500" w:rsidRPr="00B60B4F" w:rsidRDefault="0008550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r w:rsidRPr="00B60B4F">
        <w:rPr>
          <w:sz w:val="22"/>
          <w:szCs w:val="22"/>
        </w:rPr>
        <w:t xml:space="preserve">Recommendation ITU-R </w:t>
      </w:r>
      <w:r w:rsidR="00673B70" w:rsidRPr="00B60B4F">
        <w:rPr>
          <w:sz w:val="22"/>
          <w:szCs w:val="22"/>
        </w:rPr>
        <w:t>M.2003 : Multiple gigabit wireless systems in frequencies around 60 GHz, 01/2018</w:t>
      </w:r>
      <w:bookmarkEnd w:id="7"/>
    </w:p>
    <w:p w14:paraId="45F876A4" w14:textId="77777777" w:rsidR="00085500" w:rsidRPr="00B60B4F" w:rsidRDefault="0008550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8" w:name="_Ref40393515"/>
      <w:r w:rsidRPr="00B60B4F">
        <w:rPr>
          <w:bCs/>
          <w:sz w:val="22"/>
          <w:szCs w:val="22"/>
          <w:lang w:val="en-GB"/>
        </w:rPr>
        <w:t>ETSI EN 301 893 V2.1.1 (2017-05), 5 GHz RLAN; Harmonised Standard covering the essential requirements of article 3.2 of Directive 2014/53/EU</w:t>
      </w:r>
      <w:bookmarkEnd w:id="8"/>
    </w:p>
    <w:p w14:paraId="4D46F861" w14:textId="60583138" w:rsidR="00673B70" w:rsidRPr="00CD70F3" w:rsidRDefault="00673B70" w:rsidP="00085500">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9" w:name="_Ref40413541"/>
      <w:r w:rsidRPr="00B60B4F">
        <w:rPr>
          <w:bCs/>
          <w:sz w:val="22"/>
          <w:szCs w:val="22"/>
        </w:rPr>
        <w:lastRenderedPageBreak/>
        <w:t xml:space="preserve">ETSI EN 302 567 v2.1.1 (2017-07), Multiple-Gigabit/s radio equipment operating in the 60 GHz band; </w:t>
      </w:r>
      <w:r w:rsidR="00F65FCE" w:rsidRPr="00B60B4F">
        <w:rPr>
          <w:bCs/>
          <w:sz w:val="22"/>
          <w:szCs w:val="22"/>
        </w:rPr>
        <w:t>Harmonized</w:t>
      </w:r>
      <w:r w:rsidRPr="00B60B4F">
        <w:rPr>
          <w:bCs/>
          <w:sz w:val="22"/>
          <w:szCs w:val="22"/>
        </w:rPr>
        <w:t xml:space="preserve"> Standard covering the essential requirements of article 3.2 of Directive 2014/53/EU</w:t>
      </w:r>
      <w:bookmarkEnd w:id="9"/>
      <w:r w:rsidRPr="00B60B4F">
        <w:rPr>
          <w:bCs/>
          <w:sz w:val="22"/>
          <w:szCs w:val="22"/>
        </w:rPr>
        <w:t xml:space="preserve"> </w:t>
      </w:r>
    </w:p>
    <w:p w14:paraId="32651CDE" w14:textId="2CDEA4C9" w:rsidR="00CD70F3" w:rsidRPr="005249B0" w:rsidRDefault="00CD70F3" w:rsidP="00CD70F3">
      <w:pPr>
        <w:numPr>
          <w:ilvl w:val="0"/>
          <w:numId w:val="22"/>
        </w:numPr>
        <w:overflowPunct w:val="0"/>
        <w:autoSpaceDE w:val="0"/>
        <w:autoSpaceDN w:val="0"/>
        <w:adjustRightInd w:val="0"/>
        <w:spacing w:before="100" w:beforeAutospacing="1" w:after="120"/>
        <w:textAlignment w:val="baseline"/>
        <w:rPr>
          <w:sz w:val="22"/>
          <w:szCs w:val="22"/>
        </w:rPr>
      </w:pPr>
      <w:bookmarkStart w:id="10" w:name="_Ref47613999"/>
      <w:r w:rsidRPr="00CD70F3">
        <w:rPr>
          <w:sz w:val="22"/>
          <w:szCs w:val="22"/>
        </w:rPr>
        <w:t>Draft  ETSI EN 303 722 V0.0.4 (2020-05)</w:t>
      </w:r>
      <w:r w:rsidRPr="005E4239">
        <w:rPr>
          <w:sz w:val="22"/>
          <w:szCs w:val="22"/>
        </w:rPr>
        <w:t xml:space="preserve">, </w:t>
      </w:r>
      <w:r w:rsidRPr="005249B0">
        <w:rPr>
          <w:sz w:val="22"/>
          <w:szCs w:val="22"/>
        </w:rPr>
        <w:t>Wideband Data Transmission System (WDTS) for Fixed Network Radio Equipment operating in the 57 - 71 GHz band;</w:t>
      </w:r>
      <w:r>
        <w:rPr>
          <w:sz w:val="22"/>
          <w:szCs w:val="22"/>
        </w:rPr>
        <w:t xml:space="preserve"> </w:t>
      </w:r>
      <w:r w:rsidRPr="00CD70F3">
        <w:rPr>
          <w:sz w:val="22"/>
          <w:szCs w:val="22"/>
        </w:rPr>
        <w:t>Harmonised Standard for access to radio spectrum</w:t>
      </w:r>
      <w:bookmarkEnd w:id="10"/>
    </w:p>
    <w:p w14:paraId="619909B3" w14:textId="79DAB122" w:rsidR="00DF44A3" w:rsidRDefault="00DF44A3" w:rsidP="00DF44A3">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11" w:name="_Ref40443455"/>
      <w:r>
        <w:rPr>
          <w:sz w:val="22"/>
          <w:szCs w:val="22"/>
        </w:rPr>
        <w:t xml:space="preserve">3GPP </w:t>
      </w:r>
      <w:r w:rsidRPr="00295B2A">
        <w:rPr>
          <w:sz w:val="22"/>
          <w:szCs w:val="22"/>
        </w:rPr>
        <w:t>38</w:t>
      </w:r>
      <w:r>
        <w:rPr>
          <w:sz w:val="22"/>
          <w:szCs w:val="22"/>
        </w:rPr>
        <w:t>.</w:t>
      </w:r>
      <w:r w:rsidRPr="00295B2A">
        <w:rPr>
          <w:sz w:val="22"/>
          <w:szCs w:val="22"/>
        </w:rPr>
        <w:t>101-2,  5G; NR; User Equipment (UE) radio transmission and reception; Part 2: Range 2 Standalone</w:t>
      </w:r>
      <w:bookmarkEnd w:id="11"/>
    </w:p>
    <w:p w14:paraId="78A7CA4A" w14:textId="522F17AA" w:rsidR="0086366B" w:rsidRPr="00615713" w:rsidRDefault="0086366B" w:rsidP="00FB42BB">
      <w:pPr>
        <w:numPr>
          <w:ilvl w:val="0"/>
          <w:numId w:val="22"/>
        </w:numPr>
        <w:overflowPunct w:val="0"/>
        <w:autoSpaceDE w:val="0"/>
        <w:autoSpaceDN w:val="0"/>
        <w:adjustRightInd w:val="0"/>
        <w:spacing w:before="100" w:beforeAutospacing="1" w:after="120"/>
        <w:ind w:left="562" w:hanging="562"/>
        <w:textAlignment w:val="baseline"/>
        <w:rPr>
          <w:sz w:val="22"/>
          <w:szCs w:val="22"/>
        </w:rPr>
      </w:pPr>
      <w:bookmarkStart w:id="12" w:name="_Ref47711709"/>
      <w:bookmarkStart w:id="13" w:name="_Ref47611931"/>
      <w:r w:rsidRPr="00652435">
        <w:rPr>
          <w:sz w:val="22"/>
          <w:szCs w:val="22"/>
        </w:rPr>
        <w:t>ERC Recommendation 70-03,</w:t>
      </w:r>
      <w:r w:rsidRPr="00652435">
        <w:rPr>
          <w:rFonts w:ascii="ArialMT" w:hAnsi="ArialMT"/>
          <w:lang w:eastAsia="en-US"/>
        </w:rPr>
        <w:t xml:space="preserve"> </w:t>
      </w:r>
      <w:r w:rsidRPr="00652435">
        <w:rPr>
          <w:sz w:val="22"/>
          <w:szCs w:val="22"/>
        </w:rPr>
        <w:t xml:space="preserve">Relating to the use of </w:t>
      </w:r>
      <w:r w:rsidR="00570639" w:rsidRPr="00652435">
        <w:rPr>
          <w:sz w:val="22"/>
          <w:szCs w:val="22"/>
        </w:rPr>
        <w:t>Short-Range</w:t>
      </w:r>
      <w:r w:rsidRPr="00652435">
        <w:rPr>
          <w:sz w:val="22"/>
          <w:szCs w:val="22"/>
        </w:rPr>
        <w:t xml:space="preserve"> Devices (SRD), Subsequent amendments, 12 June 2020</w:t>
      </w:r>
      <w:bookmarkEnd w:id="12"/>
      <w:r w:rsidRPr="00652435">
        <w:rPr>
          <w:sz w:val="22"/>
          <w:szCs w:val="22"/>
        </w:rPr>
        <w:t xml:space="preserve"> </w:t>
      </w:r>
      <w:r w:rsidR="005C3830">
        <w:rPr>
          <w:sz w:val="22"/>
          <w:szCs w:val="22"/>
        </w:rPr>
        <w:t xml:space="preserve"> </w:t>
      </w:r>
      <w:bookmarkEnd w:id="13"/>
    </w:p>
    <w:sectPr w:rsidR="0086366B" w:rsidRPr="00615713" w:rsidSect="008E45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SimHei"/>
    <w:panose1 w:val="020B0604020202020204"/>
    <w:charset w:val="86"/>
    <w:family w:val="modern"/>
    <w:pitch w:val="default"/>
    <w:sig w:usb0="00000001" w:usb1="080E0000" w:usb2="0000000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6C692B"/>
    <w:multiLevelType w:val="hybridMultilevel"/>
    <w:tmpl w:val="58BEC950"/>
    <w:lvl w:ilvl="0" w:tplc="8D266C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6B2684"/>
    <w:multiLevelType w:val="multilevel"/>
    <w:tmpl w:val="AB1C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67255"/>
    <w:multiLevelType w:val="hybridMultilevel"/>
    <w:tmpl w:val="D4242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81AF3"/>
    <w:multiLevelType w:val="hybridMultilevel"/>
    <w:tmpl w:val="2EF025B6"/>
    <w:lvl w:ilvl="0" w:tplc="FA1207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422251AB"/>
    <w:multiLevelType w:val="singleLevel"/>
    <w:tmpl w:val="4CCE10C4"/>
    <w:lvl w:ilvl="0">
      <w:start w:val="1"/>
      <w:numFmt w:val="decimal"/>
      <w:lvlText w:val="[%1]"/>
      <w:lvlJc w:val="left"/>
      <w:pPr>
        <w:tabs>
          <w:tab w:val="num" w:pos="657"/>
        </w:tabs>
        <w:ind w:left="657" w:hanging="567"/>
      </w:pPr>
      <w:rPr>
        <w:lang w:val="en-US"/>
      </w:rPr>
    </w:lvl>
  </w:abstractNum>
  <w:abstractNum w:abstractNumId="24"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E390B"/>
    <w:multiLevelType w:val="singleLevel"/>
    <w:tmpl w:val="4CCE10C4"/>
    <w:lvl w:ilvl="0">
      <w:start w:val="1"/>
      <w:numFmt w:val="decimal"/>
      <w:lvlText w:val="[%1]"/>
      <w:lvlJc w:val="left"/>
      <w:pPr>
        <w:tabs>
          <w:tab w:val="num" w:pos="657"/>
        </w:tabs>
        <w:ind w:left="657" w:hanging="567"/>
      </w:pPr>
      <w:rPr>
        <w:lang w:val="en-US"/>
      </w:rPr>
    </w:lvl>
  </w:abstractNum>
  <w:abstractNum w:abstractNumId="26"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55D6F"/>
    <w:multiLevelType w:val="hybridMultilevel"/>
    <w:tmpl w:val="270406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091693"/>
    <w:multiLevelType w:val="hybridMultilevel"/>
    <w:tmpl w:val="8FA4F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9D00BA"/>
    <w:multiLevelType w:val="hybridMultilevel"/>
    <w:tmpl w:val="3774AE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341D75"/>
    <w:multiLevelType w:val="hybridMultilevel"/>
    <w:tmpl w:val="0E8A0B2A"/>
    <w:lvl w:ilvl="0" w:tplc="EA66DF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B867E8"/>
    <w:multiLevelType w:val="hybridMultilevel"/>
    <w:tmpl w:val="152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2" w15:restartNumberingAfterBreak="0">
    <w:nsid w:val="748F6C7D"/>
    <w:multiLevelType w:val="hybridMultilevel"/>
    <w:tmpl w:val="A702A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44"/>
  </w:num>
  <w:num w:numId="4">
    <w:abstractNumId w:val="29"/>
  </w:num>
  <w:num w:numId="5">
    <w:abstractNumId w:val="34"/>
  </w:num>
  <w:num w:numId="6">
    <w:abstractNumId w:val="19"/>
  </w:num>
  <w:num w:numId="7">
    <w:abstractNumId w:val="30"/>
  </w:num>
  <w:num w:numId="8">
    <w:abstractNumId w:val="4"/>
  </w:num>
  <w:num w:numId="9">
    <w:abstractNumId w:val="33"/>
  </w:num>
  <w:num w:numId="10">
    <w:abstractNumId w:val="10"/>
  </w:num>
  <w:num w:numId="11">
    <w:abstractNumId w:val="27"/>
  </w:num>
  <w:num w:numId="12">
    <w:abstractNumId w:val="7"/>
  </w:num>
  <w:num w:numId="13">
    <w:abstractNumId w:val="12"/>
  </w:num>
  <w:num w:numId="14">
    <w:abstractNumId w:val="26"/>
  </w:num>
  <w:num w:numId="15">
    <w:abstractNumId w:val="16"/>
  </w:num>
  <w:num w:numId="16">
    <w:abstractNumId w:val="8"/>
  </w:num>
  <w:num w:numId="17">
    <w:abstractNumId w:val="43"/>
  </w:num>
  <w:num w:numId="18">
    <w:abstractNumId w:val="41"/>
  </w:num>
  <w:num w:numId="19">
    <w:abstractNumId w:val="24"/>
  </w:num>
  <w:num w:numId="20">
    <w:abstractNumId w:val="28"/>
  </w:num>
  <w:num w:numId="21">
    <w:abstractNumId w:val="20"/>
  </w:num>
  <w:num w:numId="22">
    <w:abstractNumId w:val="1"/>
  </w:num>
  <w:num w:numId="23">
    <w:abstractNumId w:val="5"/>
  </w:num>
  <w:num w:numId="24">
    <w:abstractNumId w:val="45"/>
  </w:num>
  <w:num w:numId="25">
    <w:abstractNumId w:val="15"/>
  </w:num>
  <w:num w:numId="26">
    <w:abstractNumId w:val="32"/>
  </w:num>
  <w:num w:numId="27">
    <w:abstractNumId w:val="9"/>
  </w:num>
  <w:num w:numId="28">
    <w:abstractNumId w:val="46"/>
  </w:num>
  <w:num w:numId="29">
    <w:abstractNumId w:val="17"/>
  </w:num>
  <w:num w:numId="30">
    <w:abstractNumId w:val="22"/>
  </w:num>
  <w:num w:numId="31">
    <w:abstractNumId w:val="39"/>
  </w:num>
  <w:num w:numId="32">
    <w:abstractNumId w:val="3"/>
  </w:num>
  <w:num w:numId="33">
    <w:abstractNumId w:val="18"/>
  </w:num>
  <w:num w:numId="34">
    <w:abstractNumId w:val="14"/>
  </w:num>
  <w:num w:numId="35">
    <w:abstractNumId w:val="31"/>
  </w:num>
  <w:num w:numId="36">
    <w:abstractNumId w:val="40"/>
  </w:num>
  <w:num w:numId="37">
    <w:abstractNumId w:val="35"/>
  </w:num>
  <w:num w:numId="38">
    <w:abstractNumId w:val="6"/>
  </w:num>
  <w:num w:numId="39">
    <w:abstractNumId w:val="36"/>
  </w:num>
  <w:num w:numId="40">
    <w:abstractNumId w:val="13"/>
  </w:num>
  <w:num w:numId="41">
    <w:abstractNumId w:val="37"/>
  </w:num>
  <w:num w:numId="42">
    <w:abstractNumId w:val="38"/>
  </w:num>
  <w:num w:numId="43">
    <w:abstractNumId w:val="11"/>
  </w:num>
  <w:num w:numId="44">
    <w:abstractNumId w:val="25"/>
  </w:num>
  <w:num w:numId="45">
    <w:abstractNumId w:val="21"/>
  </w:num>
  <w:num w:numId="46">
    <w:abstractNumId w:val="42"/>
  </w:num>
  <w:num w:numId="4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C2"/>
    <w:rsid w:val="00005D7F"/>
    <w:rsid w:val="00007041"/>
    <w:rsid w:val="00007C75"/>
    <w:rsid w:val="00010082"/>
    <w:rsid w:val="0001724A"/>
    <w:rsid w:val="000212EC"/>
    <w:rsid w:val="00023A6D"/>
    <w:rsid w:val="00024CD4"/>
    <w:rsid w:val="00026645"/>
    <w:rsid w:val="00031E68"/>
    <w:rsid w:val="00032FD3"/>
    <w:rsid w:val="00033C6F"/>
    <w:rsid w:val="00033D5B"/>
    <w:rsid w:val="00034C09"/>
    <w:rsid w:val="00041988"/>
    <w:rsid w:val="00044CC2"/>
    <w:rsid w:val="00044EAE"/>
    <w:rsid w:val="000469C0"/>
    <w:rsid w:val="0005095F"/>
    <w:rsid w:val="0005612B"/>
    <w:rsid w:val="00056CD3"/>
    <w:rsid w:val="000605BB"/>
    <w:rsid w:val="00073136"/>
    <w:rsid w:val="000833DB"/>
    <w:rsid w:val="00085500"/>
    <w:rsid w:val="00087B6E"/>
    <w:rsid w:val="00092209"/>
    <w:rsid w:val="000A1890"/>
    <w:rsid w:val="000A2AAA"/>
    <w:rsid w:val="000A7DA5"/>
    <w:rsid w:val="000C3D00"/>
    <w:rsid w:val="000C560B"/>
    <w:rsid w:val="000C62A2"/>
    <w:rsid w:val="000D1A8F"/>
    <w:rsid w:val="000E01F4"/>
    <w:rsid w:val="000F2C70"/>
    <w:rsid w:val="000F380E"/>
    <w:rsid w:val="0010119A"/>
    <w:rsid w:val="001144DC"/>
    <w:rsid w:val="00116CE5"/>
    <w:rsid w:val="0011783E"/>
    <w:rsid w:val="0012068C"/>
    <w:rsid w:val="001207E3"/>
    <w:rsid w:val="00127219"/>
    <w:rsid w:val="0014015E"/>
    <w:rsid w:val="00140849"/>
    <w:rsid w:val="00143F2E"/>
    <w:rsid w:val="001454B7"/>
    <w:rsid w:val="00153773"/>
    <w:rsid w:val="001572A4"/>
    <w:rsid w:val="00163E9A"/>
    <w:rsid w:val="001779C8"/>
    <w:rsid w:val="0018607A"/>
    <w:rsid w:val="00194352"/>
    <w:rsid w:val="00194BBD"/>
    <w:rsid w:val="001B2AEE"/>
    <w:rsid w:val="001D5CE5"/>
    <w:rsid w:val="001D749D"/>
    <w:rsid w:val="001D7E91"/>
    <w:rsid w:val="002047D4"/>
    <w:rsid w:val="002134C9"/>
    <w:rsid w:val="00252B41"/>
    <w:rsid w:val="00266E0F"/>
    <w:rsid w:val="002738F9"/>
    <w:rsid w:val="00274F27"/>
    <w:rsid w:val="002758D3"/>
    <w:rsid w:val="00276E66"/>
    <w:rsid w:val="00284AB0"/>
    <w:rsid w:val="00285B13"/>
    <w:rsid w:val="00285DD5"/>
    <w:rsid w:val="002948FF"/>
    <w:rsid w:val="002972B7"/>
    <w:rsid w:val="002A274D"/>
    <w:rsid w:val="002A5B21"/>
    <w:rsid w:val="002B030A"/>
    <w:rsid w:val="002B05B7"/>
    <w:rsid w:val="002B162B"/>
    <w:rsid w:val="002B5FC9"/>
    <w:rsid w:val="002B72F3"/>
    <w:rsid w:val="002C0AB0"/>
    <w:rsid w:val="002C4EFD"/>
    <w:rsid w:val="002C57AC"/>
    <w:rsid w:val="002D41EF"/>
    <w:rsid w:val="002E62B8"/>
    <w:rsid w:val="002E7927"/>
    <w:rsid w:val="003105DC"/>
    <w:rsid w:val="00322C4E"/>
    <w:rsid w:val="0034266A"/>
    <w:rsid w:val="0034417B"/>
    <w:rsid w:val="0035494F"/>
    <w:rsid w:val="00356A2B"/>
    <w:rsid w:val="00366F52"/>
    <w:rsid w:val="003715EE"/>
    <w:rsid w:val="003900E7"/>
    <w:rsid w:val="003918D8"/>
    <w:rsid w:val="003A0742"/>
    <w:rsid w:val="003B5721"/>
    <w:rsid w:val="003E75B6"/>
    <w:rsid w:val="003E7696"/>
    <w:rsid w:val="003F2F79"/>
    <w:rsid w:val="003F670D"/>
    <w:rsid w:val="00402A51"/>
    <w:rsid w:val="0040315C"/>
    <w:rsid w:val="00405A98"/>
    <w:rsid w:val="00406FB8"/>
    <w:rsid w:val="00417FC9"/>
    <w:rsid w:val="00425D1A"/>
    <w:rsid w:val="00430AB1"/>
    <w:rsid w:val="00431CD3"/>
    <w:rsid w:val="0043338E"/>
    <w:rsid w:val="004372AA"/>
    <w:rsid w:val="00446818"/>
    <w:rsid w:val="004578FD"/>
    <w:rsid w:val="00461B15"/>
    <w:rsid w:val="00462395"/>
    <w:rsid w:val="00475C2B"/>
    <w:rsid w:val="00482475"/>
    <w:rsid w:val="00496D0C"/>
    <w:rsid w:val="004A41EF"/>
    <w:rsid w:val="004B1C85"/>
    <w:rsid w:val="004B2C35"/>
    <w:rsid w:val="004B3124"/>
    <w:rsid w:val="004B74CC"/>
    <w:rsid w:val="004C152A"/>
    <w:rsid w:val="004E4A0C"/>
    <w:rsid w:val="0050538C"/>
    <w:rsid w:val="005150C5"/>
    <w:rsid w:val="00517ADD"/>
    <w:rsid w:val="005249B0"/>
    <w:rsid w:val="00530AB8"/>
    <w:rsid w:val="005363A1"/>
    <w:rsid w:val="0053782C"/>
    <w:rsid w:val="00550F71"/>
    <w:rsid w:val="00556671"/>
    <w:rsid w:val="00570639"/>
    <w:rsid w:val="0058082D"/>
    <w:rsid w:val="005811A6"/>
    <w:rsid w:val="005954E4"/>
    <w:rsid w:val="005B1AD1"/>
    <w:rsid w:val="005B6997"/>
    <w:rsid w:val="005C3830"/>
    <w:rsid w:val="005C7D22"/>
    <w:rsid w:val="005D45F7"/>
    <w:rsid w:val="005D57A7"/>
    <w:rsid w:val="005E1D6C"/>
    <w:rsid w:val="005E4239"/>
    <w:rsid w:val="005F0B11"/>
    <w:rsid w:val="005F5A01"/>
    <w:rsid w:val="005F7A0E"/>
    <w:rsid w:val="00615713"/>
    <w:rsid w:val="0061765C"/>
    <w:rsid w:val="00621B57"/>
    <w:rsid w:val="00626534"/>
    <w:rsid w:val="00631A14"/>
    <w:rsid w:val="00635837"/>
    <w:rsid w:val="00636D7B"/>
    <w:rsid w:val="00644476"/>
    <w:rsid w:val="00652435"/>
    <w:rsid w:val="006531B1"/>
    <w:rsid w:val="00661178"/>
    <w:rsid w:val="00664689"/>
    <w:rsid w:val="006664E6"/>
    <w:rsid w:val="00673B70"/>
    <w:rsid w:val="006764AB"/>
    <w:rsid w:val="006765F4"/>
    <w:rsid w:val="006808DA"/>
    <w:rsid w:val="00685938"/>
    <w:rsid w:val="006A45D6"/>
    <w:rsid w:val="006B2682"/>
    <w:rsid w:val="006B5C14"/>
    <w:rsid w:val="006D006D"/>
    <w:rsid w:val="006D54CF"/>
    <w:rsid w:val="006E62CF"/>
    <w:rsid w:val="006F0EC9"/>
    <w:rsid w:val="006F378B"/>
    <w:rsid w:val="007003F1"/>
    <w:rsid w:val="00704C59"/>
    <w:rsid w:val="00732388"/>
    <w:rsid w:val="007332EA"/>
    <w:rsid w:val="00733B2B"/>
    <w:rsid w:val="00745905"/>
    <w:rsid w:val="00750A0B"/>
    <w:rsid w:val="007544F6"/>
    <w:rsid w:val="00766534"/>
    <w:rsid w:val="00766F27"/>
    <w:rsid w:val="0078114E"/>
    <w:rsid w:val="007879E8"/>
    <w:rsid w:val="007977DB"/>
    <w:rsid w:val="007A1B25"/>
    <w:rsid w:val="007A4C20"/>
    <w:rsid w:val="007C405F"/>
    <w:rsid w:val="007C66D3"/>
    <w:rsid w:val="007D0B54"/>
    <w:rsid w:val="007D61E0"/>
    <w:rsid w:val="007E554B"/>
    <w:rsid w:val="007E6FF6"/>
    <w:rsid w:val="007F07F8"/>
    <w:rsid w:val="007F128C"/>
    <w:rsid w:val="007F4D2C"/>
    <w:rsid w:val="0080600C"/>
    <w:rsid w:val="0081013A"/>
    <w:rsid w:val="0081180F"/>
    <w:rsid w:val="008134DE"/>
    <w:rsid w:val="008144EA"/>
    <w:rsid w:val="00816034"/>
    <w:rsid w:val="00821C29"/>
    <w:rsid w:val="00824EBE"/>
    <w:rsid w:val="008273C9"/>
    <w:rsid w:val="0086332B"/>
    <w:rsid w:val="0086366B"/>
    <w:rsid w:val="00873C38"/>
    <w:rsid w:val="0087681E"/>
    <w:rsid w:val="00877EEF"/>
    <w:rsid w:val="00883F61"/>
    <w:rsid w:val="0089138A"/>
    <w:rsid w:val="00894787"/>
    <w:rsid w:val="00895000"/>
    <w:rsid w:val="008A25E9"/>
    <w:rsid w:val="008A65A1"/>
    <w:rsid w:val="008B24BF"/>
    <w:rsid w:val="008B3B70"/>
    <w:rsid w:val="008B4BE8"/>
    <w:rsid w:val="008D0789"/>
    <w:rsid w:val="008D1863"/>
    <w:rsid w:val="008D6AE1"/>
    <w:rsid w:val="008E4530"/>
    <w:rsid w:val="008E5031"/>
    <w:rsid w:val="008F2E02"/>
    <w:rsid w:val="008F70CD"/>
    <w:rsid w:val="008F78E4"/>
    <w:rsid w:val="0090165A"/>
    <w:rsid w:val="009041E5"/>
    <w:rsid w:val="00905E3A"/>
    <w:rsid w:val="00911E05"/>
    <w:rsid w:val="00911EFA"/>
    <w:rsid w:val="009169C4"/>
    <w:rsid w:val="00916E49"/>
    <w:rsid w:val="00920D1B"/>
    <w:rsid w:val="00923A3D"/>
    <w:rsid w:val="00931DE7"/>
    <w:rsid w:val="00932A93"/>
    <w:rsid w:val="00933BA9"/>
    <w:rsid w:val="00935E6B"/>
    <w:rsid w:val="00952748"/>
    <w:rsid w:val="009561E2"/>
    <w:rsid w:val="00970AA3"/>
    <w:rsid w:val="00977119"/>
    <w:rsid w:val="00980153"/>
    <w:rsid w:val="00983F09"/>
    <w:rsid w:val="009A55AA"/>
    <w:rsid w:val="009B15B5"/>
    <w:rsid w:val="009C255E"/>
    <w:rsid w:val="009D1C4F"/>
    <w:rsid w:val="009D6489"/>
    <w:rsid w:val="009E0E57"/>
    <w:rsid w:val="009F58CE"/>
    <w:rsid w:val="009F7D20"/>
    <w:rsid w:val="00A025EC"/>
    <w:rsid w:val="00A1036A"/>
    <w:rsid w:val="00A11A32"/>
    <w:rsid w:val="00A159B3"/>
    <w:rsid w:val="00A23697"/>
    <w:rsid w:val="00A25CB0"/>
    <w:rsid w:val="00A352F0"/>
    <w:rsid w:val="00A36981"/>
    <w:rsid w:val="00A41183"/>
    <w:rsid w:val="00A41EE3"/>
    <w:rsid w:val="00A51C5F"/>
    <w:rsid w:val="00A71667"/>
    <w:rsid w:val="00A805B9"/>
    <w:rsid w:val="00A934CF"/>
    <w:rsid w:val="00A93DEE"/>
    <w:rsid w:val="00A95A78"/>
    <w:rsid w:val="00AA1820"/>
    <w:rsid w:val="00AA32E9"/>
    <w:rsid w:val="00AB2274"/>
    <w:rsid w:val="00AB26E1"/>
    <w:rsid w:val="00AC46E5"/>
    <w:rsid w:val="00AD1997"/>
    <w:rsid w:val="00AE42B6"/>
    <w:rsid w:val="00AE79CA"/>
    <w:rsid w:val="00AF13FC"/>
    <w:rsid w:val="00B0669A"/>
    <w:rsid w:val="00B07AF0"/>
    <w:rsid w:val="00B14FC6"/>
    <w:rsid w:val="00B1512A"/>
    <w:rsid w:val="00B22D4A"/>
    <w:rsid w:val="00B23071"/>
    <w:rsid w:val="00B23EB7"/>
    <w:rsid w:val="00B437B0"/>
    <w:rsid w:val="00B60B4F"/>
    <w:rsid w:val="00B706ED"/>
    <w:rsid w:val="00B72388"/>
    <w:rsid w:val="00B826ED"/>
    <w:rsid w:val="00B875E8"/>
    <w:rsid w:val="00B959B3"/>
    <w:rsid w:val="00B961EB"/>
    <w:rsid w:val="00BA699F"/>
    <w:rsid w:val="00BB421A"/>
    <w:rsid w:val="00BB5FC3"/>
    <w:rsid w:val="00BB64B1"/>
    <w:rsid w:val="00BB761F"/>
    <w:rsid w:val="00BD0141"/>
    <w:rsid w:val="00BD32F5"/>
    <w:rsid w:val="00BD76CD"/>
    <w:rsid w:val="00BF1113"/>
    <w:rsid w:val="00BF608F"/>
    <w:rsid w:val="00BF6DEF"/>
    <w:rsid w:val="00C019FA"/>
    <w:rsid w:val="00C02175"/>
    <w:rsid w:val="00C04914"/>
    <w:rsid w:val="00C116D7"/>
    <w:rsid w:val="00C13224"/>
    <w:rsid w:val="00C143F3"/>
    <w:rsid w:val="00C144FF"/>
    <w:rsid w:val="00C22DD7"/>
    <w:rsid w:val="00C231D3"/>
    <w:rsid w:val="00C27AE7"/>
    <w:rsid w:val="00C33617"/>
    <w:rsid w:val="00C34E45"/>
    <w:rsid w:val="00C36E32"/>
    <w:rsid w:val="00C40398"/>
    <w:rsid w:val="00C42379"/>
    <w:rsid w:val="00C617B3"/>
    <w:rsid w:val="00C66A4A"/>
    <w:rsid w:val="00C70DE0"/>
    <w:rsid w:val="00C8321E"/>
    <w:rsid w:val="00C84FE2"/>
    <w:rsid w:val="00C86492"/>
    <w:rsid w:val="00C90C2B"/>
    <w:rsid w:val="00CB3368"/>
    <w:rsid w:val="00CD12E3"/>
    <w:rsid w:val="00CD3E0B"/>
    <w:rsid w:val="00CD70F3"/>
    <w:rsid w:val="00CD755A"/>
    <w:rsid w:val="00CE1042"/>
    <w:rsid w:val="00CE6DE0"/>
    <w:rsid w:val="00CF1011"/>
    <w:rsid w:val="00CF5021"/>
    <w:rsid w:val="00D026FC"/>
    <w:rsid w:val="00D114EF"/>
    <w:rsid w:val="00D224DF"/>
    <w:rsid w:val="00D263F1"/>
    <w:rsid w:val="00D313A3"/>
    <w:rsid w:val="00D32078"/>
    <w:rsid w:val="00D328BE"/>
    <w:rsid w:val="00D623A6"/>
    <w:rsid w:val="00D72465"/>
    <w:rsid w:val="00D774D0"/>
    <w:rsid w:val="00D903F1"/>
    <w:rsid w:val="00D934BA"/>
    <w:rsid w:val="00D94316"/>
    <w:rsid w:val="00D97A9D"/>
    <w:rsid w:val="00DB340F"/>
    <w:rsid w:val="00DC24CB"/>
    <w:rsid w:val="00DC3467"/>
    <w:rsid w:val="00DD7737"/>
    <w:rsid w:val="00DE3E8D"/>
    <w:rsid w:val="00DF26C5"/>
    <w:rsid w:val="00DF44A3"/>
    <w:rsid w:val="00E106B9"/>
    <w:rsid w:val="00E11B95"/>
    <w:rsid w:val="00E22CA7"/>
    <w:rsid w:val="00E23FAF"/>
    <w:rsid w:val="00E24D94"/>
    <w:rsid w:val="00E2616D"/>
    <w:rsid w:val="00E54932"/>
    <w:rsid w:val="00E55EB5"/>
    <w:rsid w:val="00E56A0E"/>
    <w:rsid w:val="00E60D90"/>
    <w:rsid w:val="00E617A2"/>
    <w:rsid w:val="00E63417"/>
    <w:rsid w:val="00E6655C"/>
    <w:rsid w:val="00E73617"/>
    <w:rsid w:val="00E76928"/>
    <w:rsid w:val="00E819FF"/>
    <w:rsid w:val="00E847D0"/>
    <w:rsid w:val="00E9359E"/>
    <w:rsid w:val="00EA04A3"/>
    <w:rsid w:val="00EA5AC3"/>
    <w:rsid w:val="00EA73C1"/>
    <w:rsid w:val="00EB54F6"/>
    <w:rsid w:val="00EC0F55"/>
    <w:rsid w:val="00EC2A35"/>
    <w:rsid w:val="00ED6081"/>
    <w:rsid w:val="00ED7653"/>
    <w:rsid w:val="00EE18CC"/>
    <w:rsid w:val="00EF0866"/>
    <w:rsid w:val="00EF1E3D"/>
    <w:rsid w:val="00EF7114"/>
    <w:rsid w:val="00EF7A4E"/>
    <w:rsid w:val="00F04945"/>
    <w:rsid w:val="00F05BCC"/>
    <w:rsid w:val="00F17D02"/>
    <w:rsid w:val="00F26B9A"/>
    <w:rsid w:val="00F352A5"/>
    <w:rsid w:val="00F36D7D"/>
    <w:rsid w:val="00F37734"/>
    <w:rsid w:val="00F43CD1"/>
    <w:rsid w:val="00F50376"/>
    <w:rsid w:val="00F52A5A"/>
    <w:rsid w:val="00F65FCE"/>
    <w:rsid w:val="00F66603"/>
    <w:rsid w:val="00F763E7"/>
    <w:rsid w:val="00F87CB0"/>
    <w:rsid w:val="00F90A07"/>
    <w:rsid w:val="00F96177"/>
    <w:rsid w:val="00FA36DE"/>
    <w:rsid w:val="00FA48C3"/>
    <w:rsid w:val="00FB1097"/>
    <w:rsid w:val="00FC75C4"/>
    <w:rsid w:val="00FD58A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NormalWeb">
    <w:name w:val="Normal (Web)"/>
    <w:basedOn w:val="Normal"/>
    <w:uiPriority w:val="99"/>
    <w:semiHidden/>
    <w:unhideWhenUsed/>
    <w:rsid w:val="00673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2702208">
      <w:bodyDiv w:val="1"/>
      <w:marLeft w:val="0"/>
      <w:marRight w:val="0"/>
      <w:marTop w:val="0"/>
      <w:marBottom w:val="0"/>
      <w:divBdr>
        <w:top w:val="none" w:sz="0" w:space="0" w:color="auto"/>
        <w:left w:val="none" w:sz="0" w:space="0" w:color="auto"/>
        <w:bottom w:val="none" w:sz="0" w:space="0" w:color="auto"/>
        <w:right w:val="none" w:sz="0" w:space="0" w:color="auto"/>
      </w:divBdr>
      <w:divsChild>
        <w:div w:id="1667436579">
          <w:marLeft w:val="0"/>
          <w:marRight w:val="0"/>
          <w:marTop w:val="0"/>
          <w:marBottom w:val="0"/>
          <w:divBdr>
            <w:top w:val="none" w:sz="0" w:space="0" w:color="auto"/>
            <w:left w:val="none" w:sz="0" w:space="0" w:color="auto"/>
            <w:bottom w:val="none" w:sz="0" w:space="0" w:color="auto"/>
            <w:right w:val="none" w:sz="0" w:space="0" w:color="auto"/>
          </w:divBdr>
          <w:divsChild>
            <w:div w:id="762842803">
              <w:marLeft w:val="0"/>
              <w:marRight w:val="0"/>
              <w:marTop w:val="0"/>
              <w:marBottom w:val="0"/>
              <w:divBdr>
                <w:top w:val="none" w:sz="0" w:space="0" w:color="auto"/>
                <w:left w:val="none" w:sz="0" w:space="0" w:color="auto"/>
                <w:bottom w:val="none" w:sz="0" w:space="0" w:color="auto"/>
                <w:right w:val="none" w:sz="0" w:space="0" w:color="auto"/>
              </w:divBdr>
              <w:divsChild>
                <w:div w:id="70278812">
                  <w:marLeft w:val="0"/>
                  <w:marRight w:val="0"/>
                  <w:marTop w:val="0"/>
                  <w:marBottom w:val="0"/>
                  <w:divBdr>
                    <w:top w:val="none" w:sz="0" w:space="0" w:color="auto"/>
                    <w:left w:val="none" w:sz="0" w:space="0" w:color="auto"/>
                    <w:bottom w:val="none" w:sz="0" w:space="0" w:color="auto"/>
                    <w:right w:val="none" w:sz="0" w:space="0" w:color="auto"/>
                  </w:divBdr>
                  <w:divsChild>
                    <w:div w:id="1943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460808663">
      <w:bodyDiv w:val="1"/>
      <w:marLeft w:val="0"/>
      <w:marRight w:val="0"/>
      <w:marTop w:val="0"/>
      <w:marBottom w:val="0"/>
      <w:divBdr>
        <w:top w:val="none" w:sz="0" w:space="0" w:color="auto"/>
        <w:left w:val="none" w:sz="0" w:space="0" w:color="auto"/>
        <w:bottom w:val="none" w:sz="0" w:space="0" w:color="auto"/>
        <w:right w:val="none" w:sz="0" w:space="0" w:color="auto"/>
      </w:divBdr>
      <w:divsChild>
        <w:div w:id="1320962274">
          <w:marLeft w:val="0"/>
          <w:marRight w:val="0"/>
          <w:marTop w:val="0"/>
          <w:marBottom w:val="0"/>
          <w:divBdr>
            <w:top w:val="none" w:sz="0" w:space="0" w:color="auto"/>
            <w:left w:val="none" w:sz="0" w:space="0" w:color="auto"/>
            <w:bottom w:val="none" w:sz="0" w:space="0" w:color="auto"/>
            <w:right w:val="none" w:sz="0" w:space="0" w:color="auto"/>
          </w:divBdr>
          <w:divsChild>
            <w:div w:id="600917666">
              <w:marLeft w:val="0"/>
              <w:marRight w:val="0"/>
              <w:marTop w:val="0"/>
              <w:marBottom w:val="0"/>
              <w:divBdr>
                <w:top w:val="none" w:sz="0" w:space="0" w:color="auto"/>
                <w:left w:val="none" w:sz="0" w:space="0" w:color="auto"/>
                <w:bottom w:val="none" w:sz="0" w:space="0" w:color="auto"/>
                <w:right w:val="none" w:sz="0" w:space="0" w:color="auto"/>
              </w:divBdr>
              <w:divsChild>
                <w:div w:id="1427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684122">
      <w:bodyDiv w:val="1"/>
      <w:marLeft w:val="0"/>
      <w:marRight w:val="0"/>
      <w:marTop w:val="0"/>
      <w:marBottom w:val="0"/>
      <w:divBdr>
        <w:top w:val="none" w:sz="0" w:space="0" w:color="auto"/>
        <w:left w:val="none" w:sz="0" w:space="0" w:color="auto"/>
        <w:bottom w:val="none" w:sz="0" w:space="0" w:color="auto"/>
        <w:right w:val="none" w:sz="0" w:space="0" w:color="auto"/>
      </w:divBdr>
      <w:divsChild>
        <w:div w:id="1470128092">
          <w:marLeft w:val="0"/>
          <w:marRight w:val="0"/>
          <w:marTop w:val="0"/>
          <w:marBottom w:val="0"/>
          <w:divBdr>
            <w:top w:val="none" w:sz="0" w:space="0" w:color="auto"/>
            <w:left w:val="none" w:sz="0" w:space="0" w:color="auto"/>
            <w:bottom w:val="none" w:sz="0" w:space="0" w:color="auto"/>
            <w:right w:val="none" w:sz="0" w:space="0" w:color="auto"/>
          </w:divBdr>
          <w:divsChild>
            <w:div w:id="330329888">
              <w:marLeft w:val="0"/>
              <w:marRight w:val="0"/>
              <w:marTop w:val="0"/>
              <w:marBottom w:val="0"/>
              <w:divBdr>
                <w:top w:val="none" w:sz="0" w:space="0" w:color="auto"/>
                <w:left w:val="none" w:sz="0" w:space="0" w:color="auto"/>
                <w:bottom w:val="none" w:sz="0" w:space="0" w:color="auto"/>
                <w:right w:val="none" w:sz="0" w:space="0" w:color="auto"/>
              </w:divBdr>
              <w:divsChild>
                <w:div w:id="106850178">
                  <w:marLeft w:val="0"/>
                  <w:marRight w:val="0"/>
                  <w:marTop w:val="0"/>
                  <w:marBottom w:val="0"/>
                  <w:divBdr>
                    <w:top w:val="none" w:sz="0" w:space="0" w:color="auto"/>
                    <w:left w:val="none" w:sz="0" w:space="0" w:color="auto"/>
                    <w:bottom w:val="none" w:sz="0" w:space="0" w:color="auto"/>
                    <w:right w:val="none" w:sz="0" w:space="0" w:color="auto"/>
                  </w:divBdr>
                  <w:divsChild>
                    <w:div w:id="130770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72630340">
      <w:bodyDiv w:val="1"/>
      <w:marLeft w:val="0"/>
      <w:marRight w:val="0"/>
      <w:marTop w:val="0"/>
      <w:marBottom w:val="0"/>
      <w:divBdr>
        <w:top w:val="none" w:sz="0" w:space="0" w:color="auto"/>
        <w:left w:val="none" w:sz="0" w:space="0" w:color="auto"/>
        <w:bottom w:val="none" w:sz="0" w:space="0" w:color="auto"/>
        <w:right w:val="none" w:sz="0" w:space="0" w:color="auto"/>
      </w:divBdr>
      <w:divsChild>
        <w:div w:id="1070691544">
          <w:marLeft w:val="0"/>
          <w:marRight w:val="0"/>
          <w:marTop w:val="0"/>
          <w:marBottom w:val="0"/>
          <w:divBdr>
            <w:top w:val="none" w:sz="0" w:space="0" w:color="auto"/>
            <w:left w:val="none" w:sz="0" w:space="0" w:color="auto"/>
            <w:bottom w:val="none" w:sz="0" w:space="0" w:color="auto"/>
            <w:right w:val="none" w:sz="0" w:space="0" w:color="auto"/>
          </w:divBdr>
          <w:divsChild>
            <w:div w:id="1387795652">
              <w:marLeft w:val="0"/>
              <w:marRight w:val="0"/>
              <w:marTop w:val="0"/>
              <w:marBottom w:val="0"/>
              <w:divBdr>
                <w:top w:val="none" w:sz="0" w:space="0" w:color="auto"/>
                <w:left w:val="none" w:sz="0" w:space="0" w:color="auto"/>
                <w:bottom w:val="none" w:sz="0" w:space="0" w:color="auto"/>
                <w:right w:val="none" w:sz="0" w:space="0" w:color="auto"/>
              </w:divBdr>
              <w:divsChild>
                <w:div w:id="1425222938">
                  <w:marLeft w:val="0"/>
                  <w:marRight w:val="0"/>
                  <w:marTop w:val="0"/>
                  <w:marBottom w:val="0"/>
                  <w:divBdr>
                    <w:top w:val="none" w:sz="0" w:space="0" w:color="auto"/>
                    <w:left w:val="none" w:sz="0" w:space="0" w:color="auto"/>
                    <w:bottom w:val="none" w:sz="0" w:space="0" w:color="auto"/>
                    <w:right w:val="none" w:sz="0" w:space="0" w:color="auto"/>
                  </w:divBdr>
                  <w:divsChild>
                    <w:div w:id="14329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85423">
      <w:bodyDiv w:val="1"/>
      <w:marLeft w:val="0"/>
      <w:marRight w:val="0"/>
      <w:marTop w:val="0"/>
      <w:marBottom w:val="0"/>
      <w:divBdr>
        <w:top w:val="none" w:sz="0" w:space="0" w:color="auto"/>
        <w:left w:val="none" w:sz="0" w:space="0" w:color="auto"/>
        <w:bottom w:val="none" w:sz="0" w:space="0" w:color="auto"/>
        <w:right w:val="none" w:sz="0" w:space="0" w:color="auto"/>
      </w:divBdr>
      <w:divsChild>
        <w:div w:id="1425955757">
          <w:marLeft w:val="0"/>
          <w:marRight w:val="0"/>
          <w:marTop w:val="0"/>
          <w:marBottom w:val="0"/>
          <w:divBdr>
            <w:top w:val="none" w:sz="0" w:space="0" w:color="auto"/>
            <w:left w:val="none" w:sz="0" w:space="0" w:color="auto"/>
            <w:bottom w:val="none" w:sz="0" w:space="0" w:color="auto"/>
            <w:right w:val="none" w:sz="0" w:space="0" w:color="auto"/>
          </w:divBdr>
          <w:divsChild>
            <w:div w:id="2145200340">
              <w:marLeft w:val="0"/>
              <w:marRight w:val="0"/>
              <w:marTop w:val="0"/>
              <w:marBottom w:val="0"/>
              <w:divBdr>
                <w:top w:val="none" w:sz="0" w:space="0" w:color="auto"/>
                <w:left w:val="none" w:sz="0" w:space="0" w:color="auto"/>
                <w:bottom w:val="none" w:sz="0" w:space="0" w:color="auto"/>
                <w:right w:val="none" w:sz="0" w:space="0" w:color="auto"/>
              </w:divBdr>
              <w:divsChild>
                <w:div w:id="12403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6190915">
      <w:bodyDiv w:val="1"/>
      <w:marLeft w:val="0"/>
      <w:marRight w:val="0"/>
      <w:marTop w:val="0"/>
      <w:marBottom w:val="0"/>
      <w:divBdr>
        <w:top w:val="none" w:sz="0" w:space="0" w:color="auto"/>
        <w:left w:val="none" w:sz="0" w:space="0" w:color="auto"/>
        <w:bottom w:val="none" w:sz="0" w:space="0" w:color="auto"/>
        <w:right w:val="none" w:sz="0" w:space="0" w:color="auto"/>
      </w:divBdr>
      <w:divsChild>
        <w:div w:id="1456025322">
          <w:marLeft w:val="0"/>
          <w:marRight w:val="0"/>
          <w:marTop w:val="0"/>
          <w:marBottom w:val="0"/>
          <w:divBdr>
            <w:top w:val="none" w:sz="0" w:space="0" w:color="auto"/>
            <w:left w:val="none" w:sz="0" w:space="0" w:color="auto"/>
            <w:bottom w:val="none" w:sz="0" w:space="0" w:color="auto"/>
            <w:right w:val="none" w:sz="0" w:space="0" w:color="auto"/>
          </w:divBdr>
          <w:divsChild>
            <w:div w:id="391202132">
              <w:marLeft w:val="0"/>
              <w:marRight w:val="0"/>
              <w:marTop w:val="0"/>
              <w:marBottom w:val="0"/>
              <w:divBdr>
                <w:top w:val="none" w:sz="0" w:space="0" w:color="auto"/>
                <w:left w:val="none" w:sz="0" w:space="0" w:color="auto"/>
                <w:bottom w:val="none" w:sz="0" w:space="0" w:color="auto"/>
                <w:right w:val="none" w:sz="0" w:space="0" w:color="auto"/>
              </w:divBdr>
              <w:divsChild>
                <w:div w:id="918910177">
                  <w:marLeft w:val="0"/>
                  <w:marRight w:val="0"/>
                  <w:marTop w:val="0"/>
                  <w:marBottom w:val="0"/>
                  <w:divBdr>
                    <w:top w:val="none" w:sz="0" w:space="0" w:color="auto"/>
                    <w:left w:val="none" w:sz="0" w:space="0" w:color="auto"/>
                    <w:bottom w:val="none" w:sz="0" w:space="0" w:color="auto"/>
                    <w:right w:val="none" w:sz="0" w:space="0" w:color="auto"/>
                  </w:divBdr>
                  <w:divsChild>
                    <w:div w:id="5417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2830575">
      <w:bodyDiv w:val="1"/>
      <w:marLeft w:val="0"/>
      <w:marRight w:val="0"/>
      <w:marTop w:val="0"/>
      <w:marBottom w:val="0"/>
      <w:divBdr>
        <w:top w:val="none" w:sz="0" w:space="0" w:color="auto"/>
        <w:left w:val="none" w:sz="0" w:space="0" w:color="auto"/>
        <w:bottom w:val="none" w:sz="0" w:space="0" w:color="auto"/>
        <w:right w:val="none" w:sz="0" w:space="0" w:color="auto"/>
      </w:divBdr>
      <w:divsChild>
        <w:div w:id="901329576">
          <w:marLeft w:val="0"/>
          <w:marRight w:val="0"/>
          <w:marTop w:val="0"/>
          <w:marBottom w:val="0"/>
          <w:divBdr>
            <w:top w:val="none" w:sz="0" w:space="0" w:color="auto"/>
            <w:left w:val="none" w:sz="0" w:space="0" w:color="auto"/>
            <w:bottom w:val="none" w:sz="0" w:space="0" w:color="auto"/>
            <w:right w:val="none" w:sz="0" w:space="0" w:color="auto"/>
          </w:divBdr>
          <w:divsChild>
            <w:div w:id="1356804501">
              <w:marLeft w:val="0"/>
              <w:marRight w:val="0"/>
              <w:marTop w:val="0"/>
              <w:marBottom w:val="0"/>
              <w:divBdr>
                <w:top w:val="none" w:sz="0" w:space="0" w:color="auto"/>
                <w:left w:val="none" w:sz="0" w:space="0" w:color="auto"/>
                <w:bottom w:val="none" w:sz="0" w:space="0" w:color="auto"/>
                <w:right w:val="none" w:sz="0" w:space="0" w:color="auto"/>
              </w:divBdr>
              <w:divsChild>
                <w:div w:id="6505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94929024">
      <w:bodyDiv w:val="1"/>
      <w:marLeft w:val="0"/>
      <w:marRight w:val="0"/>
      <w:marTop w:val="0"/>
      <w:marBottom w:val="0"/>
      <w:divBdr>
        <w:top w:val="none" w:sz="0" w:space="0" w:color="auto"/>
        <w:left w:val="none" w:sz="0" w:space="0" w:color="auto"/>
        <w:bottom w:val="none" w:sz="0" w:space="0" w:color="auto"/>
        <w:right w:val="none" w:sz="0" w:space="0" w:color="auto"/>
      </w:divBdr>
      <w:divsChild>
        <w:div w:id="1758821544">
          <w:marLeft w:val="0"/>
          <w:marRight w:val="0"/>
          <w:marTop w:val="0"/>
          <w:marBottom w:val="0"/>
          <w:divBdr>
            <w:top w:val="none" w:sz="0" w:space="0" w:color="auto"/>
            <w:left w:val="none" w:sz="0" w:space="0" w:color="auto"/>
            <w:bottom w:val="none" w:sz="0" w:space="0" w:color="auto"/>
            <w:right w:val="none" w:sz="0" w:space="0" w:color="auto"/>
          </w:divBdr>
          <w:divsChild>
            <w:div w:id="572400345">
              <w:marLeft w:val="0"/>
              <w:marRight w:val="0"/>
              <w:marTop w:val="0"/>
              <w:marBottom w:val="0"/>
              <w:divBdr>
                <w:top w:val="none" w:sz="0" w:space="0" w:color="auto"/>
                <w:left w:val="none" w:sz="0" w:space="0" w:color="auto"/>
                <w:bottom w:val="none" w:sz="0" w:space="0" w:color="auto"/>
                <w:right w:val="none" w:sz="0" w:space="0" w:color="auto"/>
              </w:divBdr>
              <w:divsChild>
                <w:div w:id="122784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310868">
      <w:bodyDiv w:val="1"/>
      <w:marLeft w:val="0"/>
      <w:marRight w:val="0"/>
      <w:marTop w:val="0"/>
      <w:marBottom w:val="0"/>
      <w:divBdr>
        <w:top w:val="none" w:sz="0" w:space="0" w:color="auto"/>
        <w:left w:val="none" w:sz="0" w:space="0" w:color="auto"/>
        <w:bottom w:val="none" w:sz="0" w:space="0" w:color="auto"/>
        <w:right w:val="none" w:sz="0" w:space="0" w:color="auto"/>
      </w:divBdr>
    </w:div>
    <w:div w:id="1976447727">
      <w:bodyDiv w:val="1"/>
      <w:marLeft w:val="0"/>
      <w:marRight w:val="0"/>
      <w:marTop w:val="0"/>
      <w:marBottom w:val="0"/>
      <w:divBdr>
        <w:top w:val="none" w:sz="0" w:space="0" w:color="auto"/>
        <w:left w:val="none" w:sz="0" w:space="0" w:color="auto"/>
        <w:bottom w:val="none" w:sz="0" w:space="0" w:color="auto"/>
        <w:right w:val="none" w:sz="0" w:space="0" w:color="auto"/>
      </w:divBdr>
    </w:div>
    <w:div w:id="2046438893">
      <w:bodyDiv w:val="1"/>
      <w:marLeft w:val="0"/>
      <w:marRight w:val="0"/>
      <w:marTop w:val="0"/>
      <w:marBottom w:val="0"/>
      <w:divBdr>
        <w:top w:val="none" w:sz="0" w:space="0" w:color="auto"/>
        <w:left w:val="none" w:sz="0" w:space="0" w:color="auto"/>
        <w:bottom w:val="none" w:sz="0" w:space="0" w:color="auto"/>
        <w:right w:val="none" w:sz="0" w:space="0" w:color="auto"/>
      </w:divBdr>
      <w:divsChild>
        <w:div w:id="1529220974">
          <w:marLeft w:val="0"/>
          <w:marRight w:val="0"/>
          <w:marTop w:val="0"/>
          <w:marBottom w:val="0"/>
          <w:divBdr>
            <w:top w:val="none" w:sz="0" w:space="0" w:color="auto"/>
            <w:left w:val="none" w:sz="0" w:space="0" w:color="auto"/>
            <w:bottom w:val="none" w:sz="0" w:space="0" w:color="auto"/>
            <w:right w:val="none" w:sz="0" w:space="0" w:color="auto"/>
          </w:divBdr>
          <w:divsChild>
            <w:div w:id="1159737266">
              <w:marLeft w:val="0"/>
              <w:marRight w:val="0"/>
              <w:marTop w:val="0"/>
              <w:marBottom w:val="0"/>
              <w:divBdr>
                <w:top w:val="none" w:sz="0" w:space="0" w:color="auto"/>
                <w:left w:val="none" w:sz="0" w:space="0" w:color="auto"/>
                <w:bottom w:val="none" w:sz="0" w:space="0" w:color="auto"/>
                <w:right w:val="none" w:sz="0" w:space="0" w:color="auto"/>
              </w:divBdr>
              <w:divsChild>
                <w:div w:id="1426924638">
                  <w:marLeft w:val="0"/>
                  <w:marRight w:val="0"/>
                  <w:marTop w:val="0"/>
                  <w:marBottom w:val="0"/>
                  <w:divBdr>
                    <w:top w:val="none" w:sz="0" w:space="0" w:color="auto"/>
                    <w:left w:val="none" w:sz="0" w:space="0" w:color="auto"/>
                    <w:bottom w:val="none" w:sz="0" w:space="0" w:color="auto"/>
                    <w:right w:val="none" w:sz="0" w:space="0" w:color="auto"/>
                  </w:divBdr>
                  <w:divsChild>
                    <w:div w:id="207057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197583">
      <w:bodyDiv w:val="1"/>
      <w:marLeft w:val="0"/>
      <w:marRight w:val="0"/>
      <w:marTop w:val="0"/>
      <w:marBottom w:val="0"/>
      <w:divBdr>
        <w:top w:val="none" w:sz="0" w:space="0" w:color="auto"/>
        <w:left w:val="none" w:sz="0" w:space="0" w:color="auto"/>
        <w:bottom w:val="none" w:sz="0" w:space="0" w:color="auto"/>
        <w:right w:val="none" w:sz="0" w:space="0" w:color="auto"/>
      </w:divBdr>
      <w:divsChild>
        <w:div w:id="1247349333">
          <w:marLeft w:val="0"/>
          <w:marRight w:val="0"/>
          <w:marTop w:val="0"/>
          <w:marBottom w:val="0"/>
          <w:divBdr>
            <w:top w:val="none" w:sz="0" w:space="0" w:color="auto"/>
            <w:left w:val="none" w:sz="0" w:space="0" w:color="auto"/>
            <w:bottom w:val="none" w:sz="0" w:space="0" w:color="auto"/>
            <w:right w:val="none" w:sz="0" w:space="0" w:color="auto"/>
          </w:divBdr>
          <w:divsChild>
            <w:div w:id="572663426">
              <w:marLeft w:val="0"/>
              <w:marRight w:val="0"/>
              <w:marTop w:val="0"/>
              <w:marBottom w:val="0"/>
              <w:divBdr>
                <w:top w:val="none" w:sz="0" w:space="0" w:color="auto"/>
                <w:left w:val="none" w:sz="0" w:space="0" w:color="auto"/>
                <w:bottom w:val="none" w:sz="0" w:space="0" w:color="auto"/>
                <w:right w:val="none" w:sz="0" w:space="0" w:color="auto"/>
              </w:divBdr>
              <w:divsChild>
                <w:div w:id="18569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3083</Words>
  <Characters>16096</Characters>
  <Application>Microsoft Office Word</Application>
  <DocSecurity>0</DocSecurity>
  <Lines>303</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2020-08-08T02:14:00Z</dcterms:created>
  <dcterms:modified xsi:type="dcterms:W3CDTF">2020-08-08T02:14:00Z</dcterms:modified>
  <cp:category/>
</cp:coreProperties>
</file>